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3876675</wp:posOffset>
            </wp:positionH>
            <wp:positionV relativeFrom="paragraph">
              <wp:posOffset>0</wp:posOffset>
            </wp:positionV>
            <wp:extent cx="1216834" cy="835355"/>
            <wp:effectExtent b="0" l="0" r="0" t="0"/>
            <wp:wrapTopAndBottom distB="114300" distT="114300"/>
            <wp:docPr descr="Weatherfield Logo (High Res.).jpg" id="1" name="image2.jpg"/>
            <a:graphic>
              <a:graphicData uri="http://schemas.openxmlformats.org/drawingml/2006/picture">
                <pic:pic>
                  <pic:nvPicPr>
                    <pic:cNvPr descr="Weatherfield Logo (High Res.)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6834" cy="8353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5703.93700787401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6263.763154369409"/>
        <w:gridCol w:w="9440.173853504606"/>
        <w:tblGridChange w:id="0">
          <w:tblGrid>
            <w:gridCol w:w="6263.763154369409"/>
            <w:gridCol w:w="9440.173853504606"/>
          </w:tblGrid>
        </w:tblGridChange>
      </w:tblGrid>
      <w:tr>
        <w:trPr>
          <w:trHeight w:val="4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2b3031" w:space="0" w:sz="6" w:val="single"/>
            </w:tcBorders>
            <w:shd w:fill="383d3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36"/>
                <w:szCs w:val="36"/>
                <w:rtl w:val="0"/>
              </w:rPr>
              <w:t xml:space="preserve">Key Stage 4/5 Qualifications &amp; Destinations 2017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Total Number of Pupils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52525"/>
                <w:sz w:val="28"/>
                <w:szCs w:val="28"/>
                <w:rtl w:val="0"/>
              </w:rPr>
              <w:t xml:space="preserve">Boys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30 (9 pupil premium)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52525"/>
                <w:sz w:val="28"/>
                <w:szCs w:val="28"/>
                <w:rtl w:val="0"/>
              </w:rPr>
              <w:t xml:space="preserve">Girls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8"/>
                <w:szCs w:val="28"/>
                <w:rtl w:val="0"/>
              </w:rPr>
              <w:t xml:space="preserve">11 (3 pupil premium)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color w:val="252525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703.937007874018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703.937007874018"/>
        <w:tblGridChange w:id="0">
          <w:tblGrid>
            <w:gridCol w:w="15703.93700787401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Entry Level</w:t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Step Up To English (E1 or E2) achieved E1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95% of pupils entered for Step Up To English (E1 or E2) achieved E2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Step Up To English (E3) achieved E3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97% of pupils entered for FS English achieved EL1 or above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54% of pupils entered for FS EL2 English 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33% of pupils entered for FS EL3 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66% of pupils entered for FS Level 1/2 achieved 1 Component or more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000000"/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50% of pupils entered for FS Level 1/2 achieved 2 Components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English level 1 awards achieved 1 Award or more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85% of pupils entered for English Level 1 awards achieved 2 Awards or more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57% of pupils entered for English Level 1 awards achieved 3 Awards or more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29% of pupils entered for English Level 1 awards achieved 4 Awards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Entry Level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EL Maths achieved EL1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14% of pupils entered for EL Maths achieved EL2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79% of pupils entered for EL Maths achieved EL3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Functional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FS Maths achieved EL1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FS Maths achieved EL2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FS Maths achieved EL3 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80% of pupils entered for Maths level 1 awards achieved 1 Award or more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20% of pupils entered for Maths Level 1 awards achieved 2 Awards or more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13% of pupils entered for Maths Level 1 awards achieved 3 Awards 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1"/>
                <w:szCs w:val="21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GCSE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60% of pupils entered for GCSE Maths achieved 1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40% of pupils entered for GCSE Maths achieved 2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20% of pupils entered for GCSE Maths achieved 3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ICT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Functional Skills</w:t>
            </w:r>
          </w:p>
        </w:tc>
      </w:tr>
      <w:tr>
        <w:trPr>
          <w:trHeight w:val="1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93% of pupils entered for FS ICT EL1 passed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FS ICT EL2 passed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FS ICT EL3 passed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83%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of pupils entered for FS ICT level 1 passed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14% of pupils entered for FS ICT level 2 passed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Science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Entry Level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EL Science achieved EL3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Child Development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EL Child development achieved EL1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entered for EL PE achieved EL1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92% of pupils entered for EL PE achieved EL2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31% of pupils entered for EL PE achieved EL3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Land Based Studies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achieved level 1 Land Based Studies award or above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>
                <w:color w:val="333333"/>
                <w:sz w:val="21"/>
                <w:szCs w:val="21"/>
                <w:u w:val="none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52% of pupils were outreach from Cedars Upper School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color w:val="252525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Home Cooking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achieved level 1 Home Cooking Skills award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eaea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8"/>
                <w:szCs w:val="28"/>
                <w:rtl w:val="0"/>
              </w:rPr>
              <w:t xml:space="preserve">Destinations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252525"/>
                <w:sz w:val="24"/>
                <w:szCs w:val="24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(Weatherfield Academy 6th Form, Beds FA, Central Beds College Pathways, Central Beds College Gateway, Central Beds College Supported Internship, Central Beds College Level 2 Sports, Central Beds College Motor Vehicle Mechanics, Central Beds College Construction, First Place Supported Internship, Bedford College Foundation Skills Course, Oaklands &amp; Shuttleworth)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color="auto" w:space="0" w:sz="2" w:val="single"/>
                <w:bottom w:color="auto" w:space="0" w:sz="2" w:val="single"/>
                <w:right w:color="auto" w:space="0" w:sz="2" w:val="single"/>
                <w:between w:color="auto" w:space="0" w:sz="2" w:val="single"/>
              </w:pBdr>
              <w:spacing w:line="432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100% of pupils have gone onto either a Post 16/18 course at a college or a work placement</w:t>
            </w:r>
          </w:p>
        </w:tc>
      </w:tr>
    </w:tbl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432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566.9291338582677" w:top="566.9291338582677" w:left="566.9291338582677" w:right="566.929133858267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Relationship Id="rId6" Type="http://schemas.openxmlformats.org/officeDocument/2006/relationships/header" Target="header1.xml"/></Relationships>
</file>