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BB" w:rsidRPr="00494FBB" w:rsidRDefault="00264058" w:rsidP="00494FBB">
      <w:pPr>
        <w:spacing w:line="240" w:lineRule="auto"/>
        <w:jc w:val="center"/>
        <w:rPr>
          <w:rFonts w:ascii="Times New Roman" w:hAnsi="Times New Roman" w:cs="Times New Roman"/>
          <w:b/>
          <w:sz w:val="28"/>
          <w:szCs w:val="28"/>
          <w:u w:val="single"/>
        </w:rPr>
      </w:pPr>
      <w:r w:rsidRPr="00494FBB">
        <w:rPr>
          <w:rFonts w:ascii="Times New Roman" w:hAnsi="Times New Roman" w:cs="Times New Roman"/>
          <w:b/>
          <w:sz w:val="28"/>
          <w:szCs w:val="28"/>
          <w:u w:val="single"/>
        </w:rPr>
        <w:t xml:space="preserve">Evidence of the Development on the Recommendations of the last Ofsted </w:t>
      </w:r>
    </w:p>
    <w:p w:rsidR="00E85EC8" w:rsidRPr="00494FBB" w:rsidRDefault="00494FBB" w:rsidP="00494FBB">
      <w:pPr>
        <w:spacing w:line="240" w:lineRule="auto"/>
        <w:jc w:val="center"/>
        <w:rPr>
          <w:rFonts w:ascii="Times New Roman" w:hAnsi="Times New Roman" w:cs="Times New Roman"/>
          <w:b/>
          <w:sz w:val="28"/>
          <w:szCs w:val="28"/>
          <w:u w:val="single"/>
        </w:rPr>
      </w:pPr>
      <w:r w:rsidRPr="00494FBB">
        <w:rPr>
          <w:rFonts w:ascii="Times New Roman" w:hAnsi="Times New Roman" w:cs="Times New Roman"/>
          <w:b/>
          <w:sz w:val="28"/>
          <w:szCs w:val="28"/>
          <w:u w:val="single"/>
        </w:rPr>
        <w:t xml:space="preserve">- </w:t>
      </w:r>
      <w:r w:rsidR="00264058" w:rsidRPr="00494FBB">
        <w:rPr>
          <w:rFonts w:ascii="Times New Roman" w:hAnsi="Times New Roman" w:cs="Times New Roman"/>
          <w:b/>
          <w:sz w:val="28"/>
          <w:szCs w:val="28"/>
          <w:u w:val="single"/>
        </w:rPr>
        <w:t>September 2013</w:t>
      </w:r>
    </w:p>
    <w:p w:rsidR="00CB3172" w:rsidRDefault="00CB3172" w:rsidP="00CB3172">
      <w:pPr>
        <w:rPr>
          <w:rFonts w:ascii="Times New Roman" w:hAnsi="Times New Roman" w:cs="Times New Roman"/>
          <w:sz w:val="24"/>
          <w:szCs w:val="24"/>
        </w:rPr>
      </w:pPr>
      <w:r w:rsidRPr="003453A1">
        <w:rPr>
          <w:rFonts w:ascii="Times New Roman" w:hAnsi="Times New Roman" w:cs="Times New Roman"/>
          <w:sz w:val="24"/>
          <w:szCs w:val="24"/>
        </w:rPr>
        <w:t>The Academy has focussed training, collaboration and funding on improving the educational provision of the young people at Weatherfield Academy by collecting evidence to support the progress made in the following recommendations:</w:t>
      </w:r>
    </w:p>
    <w:p w:rsidR="00264058" w:rsidRDefault="00264058">
      <w:pPr>
        <w:rPr>
          <w:rFonts w:ascii="Times New Roman" w:hAnsi="Times New Roman" w:cs="Times New Roman"/>
          <w:b/>
          <w:sz w:val="24"/>
          <w:szCs w:val="24"/>
        </w:rPr>
      </w:pPr>
      <w:r>
        <w:rPr>
          <w:rFonts w:ascii="Times New Roman" w:hAnsi="Times New Roman" w:cs="Times New Roman"/>
          <w:b/>
          <w:sz w:val="24"/>
          <w:szCs w:val="24"/>
        </w:rPr>
        <w:t>‘Ensuring that activities in the classroom challenge each pupil at their levels throughout the lesson.’</w:t>
      </w:r>
    </w:p>
    <w:p w:rsidR="00264058" w:rsidRDefault="000E29BF" w:rsidP="006265A0">
      <w:pPr>
        <w:tabs>
          <w:tab w:val="left" w:pos="2415"/>
        </w:tabs>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1038225</wp:posOffset>
                </wp:positionH>
                <wp:positionV relativeFrom="paragraph">
                  <wp:posOffset>2332990</wp:posOffset>
                </wp:positionV>
                <wp:extent cx="4010025" cy="2857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40100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3C5C" w:rsidRPr="003E67AB" w:rsidRDefault="00B83C5C">
                            <w:pPr>
                              <w:rPr>
                                <w:b/>
                              </w:rPr>
                            </w:pPr>
                            <w:r w:rsidRPr="003E67AB">
                              <w:rPr>
                                <w:b/>
                              </w:rPr>
                              <w:t>Evidence from learning walk with focussed observations 2014-16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81.75pt;margin-top:183.7pt;width:315.75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" fillcolor="white [3201]" strokeweight=".5pt">
                <v:textbox>
                  <w:txbxContent>
                    <w:p w:rsidR="008414C1" w:rsidRPr="003E67AB" w:rsidRDefault="008414C1">
                      <w:pPr>
                        <w:rPr>
                          <w:b/>
                        </w:rPr>
                      </w:pPr>
                      <w:r w:rsidRPr="003E67AB">
                        <w:rPr>
                          <w:b/>
                        </w:rPr>
                        <w:t>Evidence from learning walk with focussed observations 2014-16</w:t>
                      </w:r>
                    </w:p>
                  </w:txbxContent>
                </v:textbox>
              </v:shape>
            </w:pict>
          </mc:Fallback>
        </mc:AlternateContent>
      </w:r>
      <w:r w:rsidR="006265A0">
        <w:rPr>
          <w:rFonts w:ascii="Times New Roman" w:hAnsi="Times New Roman" w:cs="Times New Roman"/>
          <w:noProof/>
          <w:sz w:val="24"/>
          <w:szCs w:val="24"/>
          <w:lang w:eastAsia="en-GB"/>
        </w:rPr>
        <w:drawing>
          <wp:inline distT="0" distB="0" distL="0" distR="0" wp14:anchorId="0D4F658C" wp14:editId="39F76687">
            <wp:extent cx="5962650" cy="226695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E29BF" w:rsidRDefault="000E29BF" w:rsidP="00494FBB">
      <w:pPr>
        <w:tabs>
          <w:tab w:val="left" w:pos="6660"/>
        </w:tabs>
        <w:rPr>
          <w:rFonts w:ascii="Times New Roman" w:hAnsi="Times New Roman" w:cs="Times New Roman"/>
          <w:sz w:val="24"/>
          <w:szCs w:val="24"/>
        </w:rPr>
      </w:pPr>
    </w:p>
    <w:p w:rsidR="00264058" w:rsidRDefault="000E29BF" w:rsidP="00494FBB">
      <w:pPr>
        <w:tabs>
          <w:tab w:val="left" w:pos="6660"/>
        </w:tabs>
        <w:rPr>
          <w:rFonts w:ascii="Times New Roman" w:hAnsi="Times New Roman" w:cs="Times New Roman"/>
          <w:sz w:val="24"/>
          <w:szCs w:val="24"/>
        </w:rPr>
      </w:pPr>
      <w:r>
        <w:rPr>
          <w:rFonts w:ascii="Times New Roman" w:hAnsi="Times New Roman" w:cs="Times New Roman"/>
          <w:b/>
          <w:sz w:val="24"/>
          <w:szCs w:val="24"/>
        </w:rPr>
        <w:t>‘There is not enough outstanding teaching to enable pupils to make exceptional progress.’</w:t>
      </w:r>
      <w:r w:rsidR="00494FBB">
        <w:rPr>
          <w:rFonts w:ascii="Times New Roman" w:hAnsi="Times New Roman" w:cs="Times New Roman"/>
          <w:sz w:val="24"/>
          <w:szCs w:val="24"/>
        </w:rPr>
        <w:tab/>
      </w:r>
    </w:p>
    <w:p w:rsidR="00494FBB" w:rsidRDefault="000E29BF" w:rsidP="006265A0">
      <w:pPr>
        <w:tabs>
          <w:tab w:val="left" w:pos="4035"/>
        </w:tabs>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781050</wp:posOffset>
                </wp:positionH>
                <wp:positionV relativeFrom="paragraph">
                  <wp:posOffset>3131185</wp:posOffset>
                </wp:positionV>
                <wp:extent cx="4381500" cy="3619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3815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3C5C" w:rsidRPr="000E29BF" w:rsidRDefault="00B83C5C">
                            <w:pPr>
                              <w:rPr>
                                <w:b/>
                              </w:rPr>
                            </w:pPr>
                            <w:r>
                              <w:rPr>
                                <w:b/>
                              </w:rPr>
                              <w:t>Accreditation Entries KS4/5 – Evidence Exams Officer 2014-16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margin-left:61.5pt;margin-top:246.55pt;width:345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" fillcolor="white [3201]" strokeweight=".5pt">
                <v:textbox>
                  <w:txbxContent>
                    <w:p w:rsidR="008414C1" w:rsidRPr="000E29BF" w:rsidRDefault="008414C1">
                      <w:pPr>
                        <w:rPr>
                          <w:b/>
                        </w:rPr>
                      </w:pPr>
                      <w:r>
                        <w:rPr>
                          <w:b/>
                        </w:rPr>
                        <w:t>Accreditation Entries KS4/5 – Evidence Exams Officer 2014-16</w:t>
                      </w:r>
                    </w:p>
                  </w:txbxContent>
                </v:textbox>
              </v:shape>
            </w:pict>
          </mc:Fallback>
        </mc:AlternateContent>
      </w:r>
      <w:r w:rsidR="004B5F1E">
        <w:rPr>
          <w:rFonts w:ascii="Times New Roman" w:hAnsi="Times New Roman" w:cs="Times New Roman"/>
          <w:noProof/>
          <w:sz w:val="24"/>
          <w:szCs w:val="24"/>
          <w:lang w:eastAsia="en-GB"/>
        </w:rPr>
        <w:drawing>
          <wp:inline distT="0" distB="0" distL="0" distR="0" wp14:anchorId="24FE854C" wp14:editId="534C841C">
            <wp:extent cx="6010275" cy="308610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741C" w:rsidRDefault="00FE741C" w:rsidP="00494FBB">
      <w:pPr>
        <w:tabs>
          <w:tab w:val="left" w:pos="5070"/>
        </w:tabs>
        <w:rPr>
          <w:rFonts w:ascii="Times New Roman" w:hAnsi="Times New Roman" w:cs="Times New Roman"/>
          <w:sz w:val="24"/>
          <w:szCs w:val="24"/>
        </w:rPr>
      </w:pPr>
    </w:p>
    <w:p w:rsidR="00494FBB" w:rsidRDefault="009C54A0" w:rsidP="00494FBB">
      <w:pPr>
        <w:tabs>
          <w:tab w:val="left" w:pos="5070"/>
        </w:tabs>
        <w:rPr>
          <w:rFonts w:ascii="Times New Roman" w:hAnsi="Times New Roman" w:cs="Times New Roman"/>
          <w:sz w:val="24"/>
          <w:szCs w:val="24"/>
        </w:rPr>
      </w:pPr>
      <w:r>
        <w:rPr>
          <w:rFonts w:ascii="Times New Roman" w:hAnsi="Times New Roman" w:cs="Times New Roman"/>
          <w:b/>
          <w:noProof/>
          <w:sz w:val="24"/>
          <w:szCs w:val="24"/>
          <w:lang w:eastAsia="en-GB"/>
        </w:rPr>
        <w:drawing>
          <wp:inline distT="0" distB="0" distL="0" distR="0">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FE741C">
        <w:rPr>
          <w:rFonts w:ascii="Times New Roman" w:hAnsi="Times New Roman" w:cs="Times New Roman"/>
          <w:b/>
          <w:noProof/>
          <w:sz w:val="24"/>
          <w:szCs w:val="24"/>
          <w:lang w:eastAsia="en-GB"/>
        </w:rPr>
        <mc:AlternateContent>
          <mc:Choice Requires="wps">
            <w:drawing>
              <wp:anchor distT="0" distB="0" distL="114300" distR="114300" simplePos="0" relativeHeight="251667456" behindDoc="0" locked="0" layoutInCell="1" allowOverlap="1" wp14:anchorId="1A83B801" wp14:editId="4A36BD87">
                <wp:simplePos x="0" y="0"/>
                <wp:positionH relativeFrom="column">
                  <wp:posOffset>1333500</wp:posOffset>
                </wp:positionH>
                <wp:positionV relativeFrom="paragraph">
                  <wp:posOffset>3348355</wp:posOffset>
                </wp:positionV>
                <wp:extent cx="2409825" cy="2762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4098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3C5C" w:rsidRPr="00FE741C" w:rsidRDefault="00B83C5C">
                            <w:pPr>
                              <w:rPr>
                                <w:b/>
                              </w:rPr>
                            </w:pPr>
                            <w:r w:rsidRPr="00FE741C">
                              <w:rPr>
                                <w:b/>
                              </w:rPr>
                              <w:t>Evidence from Exams Officer 2014-16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105pt;margin-top:263.65pt;width:189.75pt;height:21.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" fillcolor="white [3201]" strokeweight=".5pt">
                <v:textbox>
                  <w:txbxContent>
                    <w:p w:rsidR="00B83C5C" w:rsidRPr="00FE741C" w:rsidRDefault="00B83C5C">
                      <w:pPr>
                        <w:rPr>
                          <w:b/>
                        </w:rPr>
                      </w:pPr>
                      <w:r w:rsidRPr="00FE741C">
                        <w:rPr>
                          <w:b/>
                        </w:rPr>
                        <w:t>Evidence from Exams Officer 2014-16</w:t>
                      </w:r>
                    </w:p>
                  </w:txbxContent>
                </v:textbox>
              </v:shape>
            </w:pict>
          </mc:Fallback>
        </mc:AlternateContent>
      </w:r>
    </w:p>
    <w:p w:rsidR="00FE741C" w:rsidRDefault="00FE741C" w:rsidP="00494FBB">
      <w:pPr>
        <w:tabs>
          <w:tab w:val="left" w:pos="2355"/>
        </w:tabs>
        <w:rPr>
          <w:rFonts w:ascii="Times New Roman" w:hAnsi="Times New Roman" w:cs="Times New Roman"/>
          <w:b/>
          <w:sz w:val="24"/>
          <w:szCs w:val="24"/>
        </w:rPr>
      </w:pPr>
    </w:p>
    <w:p w:rsidR="00FE741C" w:rsidRDefault="00FE741C" w:rsidP="00494FBB">
      <w:pPr>
        <w:tabs>
          <w:tab w:val="left" w:pos="2355"/>
        </w:tabs>
        <w:rPr>
          <w:rFonts w:ascii="Times New Roman" w:hAnsi="Times New Roman" w:cs="Times New Roman"/>
          <w:b/>
          <w:sz w:val="24"/>
          <w:szCs w:val="24"/>
        </w:rPr>
      </w:pPr>
    </w:p>
    <w:p w:rsidR="003E67AB" w:rsidRDefault="003E67AB" w:rsidP="00494FBB">
      <w:pPr>
        <w:tabs>
          <w:tab w:val="left" w:pos="2355"/>
        </w:tabs>
        <w:rPr>
          <w:rFonts w:ascii="Times New Roman" w:hAnsi="Times New Roman" w:cs="Times New Roman"/>
          <w:b/>
          <w:sz w:val="24"/>
          <w:szCs w:val="24"/>
        </w:rPr>
      </w:pPr>
    </w:p>
    <w:p w:rsidR="00494FBB" w:rsidRDefault="00494FBB" w:rsidP="00494FBB">
      <w:pPr>
        <w:tabs>
          <w:tab w:val="left" w:pos="2355"/>
        </w:tabs>
        <w:rPr>
          <w:rFonts w:ascii="Times New Roman" w:hAnsi="Times New Roman" w:cs="Times New Roman"/>
          <w:b/>
          <w:sz w:val="24"/>
          <w:szCs w:val="24"/>
        </w:rPr>
      </w:pPr>
      <w:r>
        <w:rPr>
          <w:rFonts w:ascii="Times New Roman" w:hAnsi="Times New Roman" w:cs="Times New Roman"/>
          <w:b/>
          <w:sz w:val="24"/>
          <w:szCs w:val="24"/>
        </w:rPr>
        <w:t>‘Reducing teacher talk to allow pupils more opportunity to undertake planned activities, practical work, group work or independent research’.</w:t>
      </w:r>
    </w:p>
    <w:p w:rsidR="00CA6320" w:rsidRDefault="006F5E0C" w:rsidP="00494FBB">
      <w:pPr>
        <w:tabs>
          <w:tab w:val="left" w:pos="2355"/>
        </w:tabs>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72091C3C" wp14:editId="628D1AC9">
                <wp:simplePos x="0" y="0"/>
                <wp:positionH relativeFrom="column">
                  <wp:posOffset>809625</wp:posOffset>
                </wp:positionH>
                <wp:positionV relativeFrom="paragraph">
                  <wp:posOffset>3246755</wp:posOffset>
                </wp:positionV>
                <wp:extent cx="3800475" cy="2286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38004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3C5C" w:rsidRPr="006F5E0C" w:rsidRDefault="00B83C5C">
                            <w:pPr>
                              <w:rPr>
                                <w:b/>
                              </w:rPr>
                            </w:pPr>
                            <w:r>
                              <w:rPr>
                                <w:b/>
                              </w:rPr>
                              <w:t>Evidence from learning walk focussed observation 2014-16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9" type="#_x0000_t202" style="position:absolute;margin-left:63.75pt;margin-top:255.65pt;width:299.2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" fillcolor="white [3201]" strokeweight=".5pt">
                <v:textbox>
                  <w:txbxContent>
                    <w:p w:rsidR="008414C1" w:rsidRPr="006F5E0C" w:rsidRDefault="008414C1">
                      <w:pPr>
                        <w:rPr>
                          <w:b/>
                        </w:rPr>
                      </w:pPr>
                      <w:r>
                        <w:rPr>
                          <w:b/>
                        </w:rPr>
                        <w:t>Evidence from learning walk focussed observation 2014-16</w:t>
                      </w:r>
                    </w:p>
                  </w:txbxContent>
                </v:textbox>
              </v:shape>
            </w:pict>
          </mc:Fallback>
        </mc:AlternateContent>
      </w:r>
      <w:r w:rsidR="00494FBB">
        <w:rPr>
          <w:rFonts w:ascii="Times New Roman" w:hAnsi="Times New Roman" w:cs="Times New Roman"/>
          <w:noProof/>
          <w:sz w:val="24"/>
          <w:szCs w:val="24"/>
          <w:lang w:eastAsia="en-GB"/>
        </w:rPr>
        <w:drawing>
          <wp:inline distT="0" distB="0" distL="0" distR="0" wp14:anchorId="6D9F07DA" wp14:editId="08FD21DF">
            <wp:extent cx="6143625" cy="320040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67AB" w:rsidRPr="00694E92" w:rsidRDefault="00F01CDC" w:rsidP="001A3E78">
      <w:pPr>
        <w:tabs>
          <w:tab w:val="left" w:pos="2070"/>
          <w:tab w:val="left" w:pos="3540"/>
        </w:tabs>
        <w:rPr>
          <w:rFonts w:ascii="Times New Roman" w:hAnsi="Times New Roman" w:cs="Times New Roman"/>
          <w:b/>
          <w:sz w:val="28"/>
          <w:szCs w:val="28"/>
        </w:rPr>
      </w:pPr>
      <w:r w:rsidRPr="003453A1">
        <w:rPr>
          <w:rFonts w:ascii="Times New Roman" w:hAnsi="Times New Roman" w:cs="Times New Roman"/>
          <w:sz w:val="24"/>
          <w:szCs w:val="24"/>
        </w:rPr>
        <w:lastRenderedPageBreak/>
        <w:t xml:space="preserve">The 4 P’s have been part of the SLT expectations since the last inspection.  These are visible in each classroom and the expectation is that pupils in the older age ranges know the 4 P’s and how the lessons will be structured around the framework.   Members of the Alliance Teaching School have used this framework to enhance the quality of teaching in their provisions. </w:t>
      </w:r>
      <w:r w:rsidR="001A3E78" w:rsidRPr="003453A1">
        <w:rPr>
          <w:rFonts w:ascii="Times New Roman" w:hAnsi="Times New Roman" w:cs="Times New Roman"/>
          <w:b/>
          <w:sz w:val="28"/>
          <w:szCs w:val="28"/>
        </w:rPr>
        <w:tab/>
      </w:r>
    </w:p>
    <w:p w:rsidR="00CA6320" w:rsidRDefault="00CA6320" w:rsidP="00CA6320">
      <w:pPr>
        <w:tabs>
          <w:tab w:val="left" w:pos="2070"/>
        </w:tabs>
        <w:rPr>
          <w:rFonts w:ascii="Times New Roman" w:hAnsi="Times New Roman" w:cs="Times New Roman"/>
          <w:b/>
          <w:sz w:val="24"/>
          <w:szCs w:val="24"/>
        </w:rPr>
      </w:pPr>
      <w:r>
        <w:rPr>
          <w:rFonts w:ascii="Times New Roman" w:hAnsi="Times New Roman" w:cs="Times New Roman"/>
          <w:b/>
          <w:sz w:val="24"/>
          <w:szCs w:val="24"/>
        </w:rPr>
        <w:t xml:space="preserve"> ‘Ensuring that additional adults in the room are always used effectively to enable </w:t>
      </w:r>
      <w:r w:rsidR="00903733">
        <w:rPr>
          <w:rFonts w:ascii="Times New Roman" w:hAnsi="Times New Roman" w:cs="Times New Roman"/>
          <w:b/>
          <w:sz w:val="24"/>
          <w:szCs w:val="24"/>
        </w:rPr>
        <w:t>those pupils</w:t>
      </w:r>
      <w:r>
        <w:rPr>
          <w:rFonts w:ascii="Times New Roman" w:hAnsi="Times New Roman" w:cs="Times New Roman"/>
          <w:b/>
          <w:sz w:val="24"/>
          <w:szCs w:val="24"/>
        </w:rPr>
        <w:t xml:space="preserve"> to make progress during the lesson.’</w:t>
      </w:r>
    </w:p>
    <w:p w:rsidR="00CA6320" w:rsidRDefault="00FE741C" w:rsidP="00CA6320">
      <w:pPr>
        <w:tabs>
          <w:tab w:val="left" w:pos="2070"/>
        </w:tabs>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64384" behindDoc="0" locked="0" layoutInCell="1" allowOverlap="1" wp14:anchorId="1A65C188" wp14:editId="4CBE3E52">
                <wp:simplePos x="0" y="0"/>
                <wp:positionH relativeFrom="column">
                  <wp:posOffset>904875</wp:posOffset>
                </wp:positionH>
                <wp:positionV relativeFrom="paragraph">
                  <wp:posOffset>2127250</wp:posOffset>
                </wp:positionV>
                <wp:extent cx="4152900" cy="2762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41529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3C5C" w:rsidRPr="0005352C" w:rsidRDefault="00B83C5C" w:rsidP="0005352C">
                            <w:pPr>
                              <w:jc w:val="center"/>
                              <w:rPr>
                                <w:b/>
                              </w:rPr>
                            </w:pPr>
                            <w:r w:rsidRPr="0005352C">
                              <w:rPr>
                                <w:b/>
                              </w:rPr>
                              <w:t>Evidence : Staff Training Records 2014-16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0" type="#_x0000_t202" style="position:absolute;margin-left:71.25pt;margin-top:167.5pt;width:327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" fillcolor="white [3201]" strokeweight=".5pt">
                <v:textbox>
                  <w:txbxContent>
                    <w:p w:rsidR="008414C1" w:rsidRPr="0005352C" w:rsidRDefault="008414C1" w:rsidP="0005352C">
                      <w:pPr>
                        <w:jc w:val="center"/>
                        <w:rPr>
                          <w:b/>
                        </w:rPr>
                      </w:pPr>
                      <w:proofErr w:type="gramStart"/>
                      <w:r w:rsidRPr="0005352C">
                        <w:rPr>
                          <w:b/>
                        </w:rPr>
                        <w:t>Evidence :</w:t>
                      </w:r>
                      <w:proofErr w:type="gramEnd"/>
                      <w:r w:rsidRPr="0005352C">
                        <w:rPr>
                          <w:b/>
                        </w:rPr>
                        <w:t xml:space="preserve"> Staff Training Records 2014-16</w:t>
                      </w:r>
                    </w:p>
                  </w:txbxContent>
                </v:textbox>
              </v:shape>
            </w:pict>
          </mc:Fallback>
        </mc:AlternateContent>
      </w:r>
      <w:r w:rsidR="00CA6320">
        <w:rPr>
          <w:rFonts w:ascii="Times New Roman" w:hAnsi="Times New Roman" w:cs="Times New Roman"/>
          <w:b/>
          <w:noProof/>
          <w:sz w:val="24"/>
          <w:szCs w:val="24"/>
          <w:lang w:eastAsia="en-GB"/>
        </w:rPr>
        <w:drawing>
          <wp:inline distT="0" distB="0" distL="0" distR="0" wp14:anchorId="03F63832" wp14:editId="17D67C28">
            <wp:extent cx="5829300" cy="203835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A6320" w:rsidRDefault="00CA6320" w:rsidP="00FE741C">
      <w:pPr>
        <w:tabs>
          <w:tab w:val="left" w:pos="2625"/>
          <w:tab w:val="left" w:pos="7830"/>
        </w:tabs>
        <w:rPr>
          <w:rFonts w:ascii="Times New Roman" w:hAnsi="Times New Roman" w:cs="Times New Roman"/>
          <w:b/>
          <w:sz w:val="24"/>
          <w:szCs w:val="24"/>
        </w:rPr>
      </w:pPr>
      <w:r>
        <w:rPr>
          <w:rFonts w:ascii="Times New Roman" w:hAnsi="Times New Roman" w:cs="Times New Roman"/>
          <w:sz w:val="24"/>
          <w:szCs w:val="24"/>
        </w:rPr>
        <w:tab/>
      </w:r>
      <w:r w:rsidR="00854032">
        <w:rPr>
          <w:rFonts w:ascii="Times New Roman" w:hAnsi="Times New Roman" w:cs="Times New Roman"/>
          <w:sz w:val="24"/>
          <w:szCs w:val="24"/>
        </w:rPr>
        <w:tab/>
      </w:r>
    </w:p>
    <w:p w:rsidR="00CA6320" w:rsidRPr="00F01CDC" w:rsidRDefault="00F01CDC" w:rsidP="00CA6320">
      <w:pPr>
        <w:tabs>
          <w:tab w:val="left" w:pos="2625"/>
        </w:tabs>
        <w:rPr>
          <w:rFonts w:ascii="Times New Roman" w:hAnsi="Times New Roman" w:cs="Times New Roman"/>
          <w:sz w:val="24"/>
          <w:szCs w:val="24"/>
        </w:rPr>
      </w:pPr>
      <w:r w:rsidRPr="00F01CDC">
        <w:rPr>
          <w:rFonts w:ascii="Times New Roman" w:hAnsi="Times New Roman" w:cs="Times New Roman"/>
          <w:sz w:val="24"/>
          <w:szCs w:val="24"/>
        </w:rPr>
        <w:t xml:space="preserve">Support staff have through their performance management been driven to more focussed training so that they can add value to the classroom environment and learning of pupils whilst also improving their own skill base. </w:t>
      </w:r>
    </w:p>
    <w:p w:rsidR="00FE741C" w:rsidRDefault="00FE741C" w:rsidP="00FE741C">
      <w:pPr>
        <w:tabs>
          <w:tab w:val="left" w:pos="2625"/>
        </w:tabs>
        <w:rPr>
          <w:rFonts w:ascii="Times New Roman" w:hAnsi="Times New Roman" w:cs="Times New Roman"/>
          <w:sz w:val="24"/>
          <w:szCs w:val="24"/>
        </w:rPr>
      </w:pPr>
      <w:r>
        <w:rPr>
          <w:rFonts w:ascii="Times New Roman" w:hAnsi="Times New Roman" w:cs="Times New Roman"/>
          <w:sz w:val="24"/>
          <w:szCs w:val="24"/>
        </w:rPr>
        <w:t xml:space="preserve">A weekly 30 minute support staff meeting is held throughout the year.  </w:t>
      </w:r>
      <w:r w:rsidR="00C61409">
        <w:rPr>
          <w:rFonts w:ascii="Times New Roman" w:hAnsi="Times New Roman" w:cs="Times New Roman"/>
          <w:sz w:val="24"/>
          <w:szCs w:val="24"/>
        </w:rPr>
        <w:t xml:space="preserve">Whole staff INSET has focussed on </w:t>
      </w:r>
      <w:r w:rsidR="00AF7C1E">
        <w:rPr>
          <w:rFonts w:ascii="Times New Roman" w:hAnsi="Times New Roman" w:cs="Times New Roman"/>
          <w:sz w:val="24"/>
          <w:szCs w:val="24"/>
        </w:rPr>
        <w:t xml:space="preserve">moving the Academy from ‘Good to Outstanding’ in an educational provision.  Selected guests who have been quality assured for their INSET training have presented to the whole Academy including Governors on the following: </w:t>
      </w:r>
    </w:p>
    <w:p w:rsidR="00AF7C1E" w:rsidRPr="003E67AB" w:rsidRDefault="00AF7C1E" w:rsidP="00AF7C1E">
      <w:pPr>
        <w:pStyle w:val="ListParagraph"/>
        <w:numPr>
          <w:ilvl w:val="0"/>
          <w:numId w:val="1"/>
        </w:numPr>
        <w:tabs>
          <w:tab w:val="left" w:pos="2625"/>
        </w:tabs>
        <w:rPr>
          <w:rFonts w:ascii="Times New Roman" w:hAnsi="Times New Roman" w:cs="Times New Roman"/>
        </w:rPr>
      </w:pPr>
      <w:r w:rsidRPr="003E67AB">
        <w:rPr>
          <w:rFonts w:ascii="Times New Roman" w:hAnsi="Times New Roman" w:cs="Times New Roman"/>
        </w:rPr>
        <w:t>Dove Self-esteem training 9/12/14</w:t>
      </w:r>
    </w:p>
    <w:p w:rsidR="00AF7C1E" w:rsidRPr="003E67AB" w:rsidRDefault="00AF7C1E" w:rsidP="00AF7C1E">
      <w:pPr>
        <w:pStyle w:val="ListParagraph"/>
        <w:numPr>
          <w:ilvl w:val="0"/>
          <w:numId w:val="1"/>
        </w:numPr>
        <w:tabs>
          <w:tab w:val="left" w:pos="2625"/>
        </w:tabs>
        <w:rPr>
          <w:rFonts w:ascii="Times New Roman" w:hAnsi="Times New Roman" w:cs="Times New Roman"/>
        </w:rPr>
      </w:pPr>
      <w:r w:rsidRPr="003E67AB">
        <w:rPr>
          <w:rFonts w:ascii="Times New Roman" w:hAnsi="Times New Roman" w:cs="Times New Roman"/>
        </w:rPr>
        <w:t>Public Speaking with Sandra Lawes 13/4/15</w:t>
      </w:r>
    </w:p>
    <w:p w:rsidR="00AF7C1E" w:rsidRPr="003E67AB" w:rsidRDefault="00AF7C1E" w:rsidP="00AF7C1E">
      <w:pPr>
        <w:pStyle w:val="ListParagraph"/>
        <w:numPr>
          <w:ilvl w:val="0"/>
          <w:numId w:val="1"/>
        </w:numPr>
        <w:tabs>
          <w:tab w:val="left" w:pos="2625"/>
        </w:tabs>
        <w:rPr>
          <w:rFonts w:ascii="Times New Roman" w:hAnsi="Times New Roman" w:cs="Times New Roman"/>
        </w:rPr>
      </w:pPr>
      <w:r w:rsidRPr="003E67AB">
        <w:rPr>
          <w:rFonts w:ascii="Times New Roman" w:hAnsi="Times New Roman" w:cs="Times New Roman"/>
        </w:rPr>
        <w:t>Autism Training 3/9/15</w:t>
      </w:r>
    </w:p>
    <w:p w:rsidR="00AF7C1E" w:rsidRPr="003E67AB" w:rsidRDefault="00AF7C1E" w:rsidP="00AF7C1E">
      <w:pPr>
        <w:pStyle w:val="ListParagraph"/>
        <w:numPr>
          <w:ilvl w:val="0"/>
          <w:numId w:val="1"/>
        </w:numPr>
        <w:tabs>
          <w:tab w:val="left" w:pos="2625"/>
        </w:tabs>
        <w:rPr>
          <w:rFonts w:ascii="Times New Roman" w:hAnsi="Times New Roman" w:cs="Times New Roman"/>
        </w:rPr>
      </w:pPr>
      <w:r w:rsidRPr="003E67AB">
        <w:rPr>
          <w:rFonts w:ascii="Times New Roman" w:hAnsi="Times New Roman" w:cs="Times New Roman"/>
        </w:rPr>
        <w:t>Mindfulness Training with Nicola Perkins 4/9/15</w:t>
      </w:r>
    </w:p>
    <w:p w:rsidR="00AF7C1E" w:rsidRPr="003E67AB" w:rsidRDefault="00AF7C1E" w:rsidP="00AF7C1E">
      <w:pPr>
        <w:pStyle w:val="ListParagraph"/>
        <w:numPr>
          <w:ilvl w:val="0"/>
          <w:numId w:val="1"/>
        </w:numPr>
        <w:tabs>
          <w:tab w:val="left" w:pos="2625"/>
        </w:tabs>
        <w:rPr>
          <w:rFonts w:ascii="Times New Roman" w:hAnsi="Times New Roman" w:cs="Times New Roman"/>
        </w:rPr>
      </w:pPr>
      <w:r w:rsidRPr="003E67AB">
        <w:rPr>
          <w:rFonts w:ascii="Times New Roman" w:hAnsi="Times New Roman" w:cs="Times New Roman"/>
        </w:rPr>
        <w:t>Safer Recruitment for Managers 11/11/15</w:t>
      </w:r>
    </w:p>
    <w:p w:rsidR="00AF7C1E" w:rsidRPr="003E67AB" w:rsidRDefault="00AF7C1E" w:rsidP="00AF7C1E">
      <w:pPr>
        <w:pStyle w:val="ListParagraph"/>
        <w:numPr>
          <w:ilvl w:val="0"/>
          <w:numId w:val="1"/>
        </w:numPr>
        <w:tabs>
          <w:tab w:val="left" w:pos="2625"/>
        </w:tabs>
        <w:rPr>
          <w:rFonts w:ascii="Times New Roman" w:hAnsi="Times New Roman" w:cs="Times New Roman"/>
        </w:rPr>
      </w:pPr>
      <w:r w:rsidRPr="003E67AB">
        <w:rPr>
          <w:rFonts w:ascii="Times New Roman" w:hAnsi="Times New Roman" w:cs="Times New Roman"/>
        </w:rPr>
        <w:t>Online Training – Safeguarding Safer Recruitment  4/6/15</w:t>
      </w:r>
    </w:p>
    <w:p w:rsidR="00AF7C1E" w:rsidRPr="003E67AB" w:rsidRDefault="00AF7C1E" w:rsidP="00AF7C1E">
      <w:pPr>
        <w:pStyle w:val="ListParagraph"/>
        <w:numPr>
          <w:ilvl w:val="0"/>
          <w:numId w:val="1"/>
        </w:numPr>
        <w:tabs>
          <w:tab w:val="left" w:pos="2625"/>
        </w:tabs>
        <w:rPr>
          <w:rFonts w:ascii="Times New Roman" w:hAnsi="Times New Roman" w:cs="Times New Roman"/>
        </w:rPr>
      </w:pPr>
      <w:r w:rsidRPr="003E67AB">
        <w:rPr>
          <w:rFonts w:ascii="Times New Roman" w:hAnsi="Times New Roman" w:cs="Times New Roman"/>
        </w:rPr>
        <w:t>Oppositional Defiant Disorder (ODD) training with Sue Salisbury – Jigsaw 2/11/15</w:t>
      </w:r>
    </w:p>
    <w:p w:rsidR="00AF7C1E" w:rsidRPr="003E67AB" w:rsidRDefault="00AF7C1E" w:rsidP="00AF7C1E">
      <w:pPr>
        <w:pStyle w:val="ListParagraph"/>
        <w:numPr>
          <w:ilvl w:val="0"/>
          <w:numId w:val="1"/>
        </w:numPr>
        <w:tabs>
          <w:tab w:val="left" w:pos="2625"/>
        </w:tabs>
        <w:rPr>
          <w:rFonts w:ascii="Times New Roman" w:hAnsi="Times New Roman" w:cs="Times New Roman"/>
        </w:rPr>
      </w:pPr>
      <w:r w:rsidRPr="003E67AB">
        <w:rPr>
          <w:rFonts w:ascii="Times New Roman" w:hAnsi="Times New Roman" w:cs="Times New Roman"/>
        </w:rPr>
        <w:t>Safeguarding In Safer Hands Training with Pau James, Luton LADO 2/11/15</w:t>
      </w:r>
    </w:p>
    <w:p w:rsidR="00AF7C1E" w:rsidRPr="003E67AB" w:rsidRDefault="00AF7C1E" w:rsidP="00AF7C1E">
      <w:pPr>
        <w:pStyle w:val="ListParagraph"/>
        <w:numPr>
          <w:ilvl w:val="0"/>
          <w:numId w:val="1"/>
        </w:numPr>
        <w:tabs>
          <w:tab w:val="left" w:pos="2625"/>
        </w:tabs>
        <w:rPr>
          <w:rFonts w:ascii="Times New Roman" w:hAnsi="Times New Roman" w:cs="Times New Roman"/>
        </w:rPr>
      </w:pPr>
      <w:r w:rsidRPr="003E67AB">
        <w:rPr>
          <w:rFonts w:ascii="Times New Roman" w:hAnsi="Times New Roman" w:cs="Times New Roman"/>
        </w:rPr>
        <w:t>Fire Warden Training 4/1/16</w:t>
      </w:r>
    </w:p>
    <w:p w:rsidR="00AF7C1E" w:rsidRPr="003E67AB" w:rsidRDefault="00AF7C1E" w:rsidP="00AF7C1E">
      <w:pPr>
        <w:pStyle w:val="ListParagraph"/>
        <w:numPr>
          <w:ilvl w:val="0"/>
          <w:numId w:val="1"/>
        </w:numPr>
        <w:tabs>
          <w:tab w:val="left" w:pos="2625"/>
        </w:tabs>
        <w:rPr>
          <w:rFonts w:ascii="Times New Roman" w:hAnsi="Times New Roman" w:cs="Times New Roman"/>
        </w:rPr>
      </w:pPr>
      <w:r w:rsidRPr="003E67AB">
        <w:rPr>
          <w:rFonts w:ascii="Times New Roman" w:hAnsi="Times New Roman" w:cs="Times New Roman"/>
        </w:rPr>
        <w:t>Child Sexual Exploitation INSET 23/2/16</w:t>
      </w:r>
    </w:p>
    <w:p w:rsidR="00AF7C1E" w:rsidRPr="003E67AB" w:rsidRDefault="00AF7C1E" w:rsidP="00AF7C1E">
      <w:pPr>
        <w:pStyle w:val="ListParagraph"/>
        <w:numPr>
          <w:ilvl w:val="0"/>
          <w:numId w:val="1"/>
        </w:numPr>
        <w:tabs>
          <w:tab w:val="left" w:pos="2625"/>
        </w:tabs>
        <w:rPr>
          <w:rFonts w:ascii="Times New Roman" w:hAnsi="Times New Roman" w:cs="Times New Roman"/>
        </w:rPr>
      </w:pPr>
      <w:r w:rsidRPr="003E67AB">
        <w:rPr>
          <w:rFonts w:ascii="Times New Roman" w:hAnsi="Times New Roman" w:cs="Times New Roman"/>
        </w:rPr>
        <w:t>INSET E-Safety Training 22/3/16</w:t>
      </w:r>
    </w:p>
    <w:p w:rsidR="00AF7C1E" w:rsidRPr="003E67AB" w:rsidRDefault="00AF7C1E" w:rsidP="00AF7C1E">
      <w:pPr>
        <w:pStyle w:val="ListParagraph"/>
        <w:numPr>
          <w:ilvl w:val="0"/>
          <w:numId w:val="1"/>
        </w:numPr>
        <w:tabs>
          <w:tab w:val="left" w:pos="2625"/>
        </w:tabs>
        <w:rPr>
          <w:rFonts w:ascii="Times New Roman" w:hAnsi="Times New Roman" w:cs="Times New Roman"/>
        </w:rPr>
      </w:pPr>
      <w:r w:rsidRPr="003E67AB">
        <w:rPr>
          <w:rFonts w:ascii="Times New Roman" w:hAnsi="Times New Roman" w:cs="Times New Roman"/>
        </w:rPr>
        <w:t>CAN Drugs &amp; Alcohol INSET with Iain Fraser 19/4/16</w:t>
      </w:r>
    </w:p>
    <w:p w:rsidR="00AF7C1E" w:rsidRDefault="0071331F" w:rsidP="00CA6320">
      <w:pPr>
        <w:tabs>
          <w:tab w:val="left" w:pos="2625"/>
        </w:tabs>
        <w:rPr>
          <w:rFonts w:ascii="Times New Roman" w:hAnsi="Times New Roman" w:cs="Times New Roman"/>
          <w:sz w:val="24"/>
          <w:szCs w:val="24"/>
        </w:rPr>
      </w:pPr>
      <w:r>
        <w:rPr>
          <w:rFonts w:ascii="Times New Roman" w:hAnsi="Times New Roman" w:cs="Times New Roman"/>
          <w:sz w:val="24"/>
          <w:szCs w:val="24"/>
        </w:rPr>
        <w:lastRenderedPageBreak/>
        <w:t xml:space="preserve">A skills audit of teaching staff was carried out during May 2016 which has additional supporting evidence of individual, bespoke and whole school training for all members of staff. </w:t>
      </w:r>
    </w:p>
    <w:p w:rsidR="00CA6320" w:rsidRDefault="003453A1" w:rsidP="00CA6320">
      <w:pPr>
        <w:tabs>
          <w:tab w:val="left" w:pos="2625"/>
        </w:tabs>
        <w:rPr>
          <w:rFonts w:ascii="Times New Roman" w:hAnsi="Times New Roman" w:cs="Times New Roman"/>
          <w:b/>
          <w:sz w:val="24"/>
          <w:szCs w:val="24"/>
        </w:rPr>
      </w:pPr>
      <w:r>
        <w:rPr>
          <w:rFonts w:ascii="Times New Roman" w:hAnsi="Times New Roman" w:cs="Times New Roman"/>
          <w:b/>
          <w:sz w:val="24"/>
          <w:szCs w:val="24"/>
        </w:rPr>
        <w:t xml:space="preserve"> </w:t>
      </w:r>
      <w:r w:rsidR="00CA6320">
        <w:rPr>
          <w:rFonts w:ascii="Times New Roman" w:hAnsi="Times New Roman" w:cs="Times New Roman"/>
          <w:b/>
          <w:sz w:val="24"/>
          <w:szCs w:val="24"/>
        </w:rPr>
        <w:t>‘Ensure that the data on individuals and groups of pupils is organised and presented in a way that clearly identifies their starting points on entry to the Academy or to a different key stage in order to be able to recognise and celebrate their good achievements over time.’</w:t>
      </w:r>
    </w:p>
    <w:p w:rsidR="0071331F" w:rsidRPr="00FE741C" w:rsidRDefault="0071331F" w:rsidP="00FE741C">
      <w:pPr>
        <w:tabs>
          <w:tab w:val="left" w:pos="2625"/>
        </w:tabs>
        <w:jc w:val="center"/>
        <w:rPr>
          <w:rFonts w:ascii="Times New Roman" w:hAnsi="Times New Roman" w:cs="Times New Roman"/>
          <w:b/>
          <w:sz w:val="32"/>
          <w:szCs w:val="32"/>
        </w:rPr>
      </w:pPr>
    </w:p>
    <w:tbl>
      <w:tblPr>
        <w:tblStyle w:val="TableGrid"/>
        <w:tblW w:w="0" w:type="auto"/>
        <w:tblLook w:val="04A0" w:firstRow="1" w:lastRow="0" w:firstColumn="1" w:lastColumn="0" w:noHBand="0" w:noVBand="1"/>
      </w:tblPr>
      <w:tblGrid>
        <w:gridCol w:w="3080"/>
        <w:gridCol w:w="3081"/>
        <w:gridCol w:w="3081"/>
      </w:tblGrid>
      <w:tr w:rsidR="00FE741C" w:rsidTr="00FE741C">
        <w:tc>
          <w:tcPr>
            <w:tcW w:w="9242" w:type="dxa"/>
            <w:gridSpan w:val="3"/>
            <w:shd w:val="clear" w:color="auto" w:fill="FFFFFF" w:themeFill="background1"/>
          </w:tcPr>
          <w:p w:rsidR="00FE741C" w:rsidRDefault="00FE741C" w:rsidP="003453A1">
            <w:pPr>
              <w:tabs>
                <w:tab w:val="left" w:pos="2625"/>
              </w:tabs>
              <w:jc w:val="center"/>
              <w:rPr>
                <w:rFonts w:ascii="Times New Roman" w:hAnsi="Times New Roman" w:cs="Times New Roman"/>
                <w:b/>
                <w:sz w:val="32"/>
                <w:szCs w:val="32"/>
              </w:rPr>
            </w:pPr>
            <w:r w:rsidRPr="00FE741C">
              <w:rPr>
                <w:rFonts w:ascii="Times New Roman" w:hAnsi="Times New Roman" w:cs="Times New Roman"/>
                <w:b/>
                <w:sz w:val="32"/>
                <w:szCs w:val="32"/>
              </w:rPr>
              <w:t xml:space="preserve">Resources Available at Weatherfield Academy to measure </w:t>
            </w:r>
          </w:p>
          <w:p w:rsidR="00FE741C" w:rsidRPr="003453A1" w:rsidRDefault="00FE741C" w:rsidP="003453A1">
            <w:pPr>
              <w:tabs>
                <w:tab w:val="left" w:pos="2625"/>
              </w:tabs>
              <w:jc w:val="center"/>
              <w:rPr>
                <w:rFonts w:ascii="Times New Roman" w:hAnsi="Times New Roman" w:cs="Times New Roman"/>
                <w:b/>
                <w:sz w:val="28"/>
                <w:szCs w:val="28"/>
              </w:rPr>
            </w:pPr>
            <w:r w:rsidRPr="00FE741C">
              <w:rPr>
                <w:rFonts w:ascii="Times New Roman" w:hAnsi="Times New Roman" w:cs="Times New Roman"/>
                <w:b/>
                <w:sz w:val="32"/>
                <w:szCs w:val="32"/>
              </w:rPr>
              <w:t>pupil progress and achievement</w:t>
            </w:r>
          </w:p>
        </w:tc>
      </w:tr>
      <w:tr w:rsidR="00702FD7" w:rsidRPr="00FE741C" w:rsidTr="003453A1">
        <w:tc>
          <w:tcPr>
            <w:tcW w:w="3080" w:type="dxa"/>
            <w:shd w:val="clear" w:color="auto" w:fill="7F7F7F" w:themeFill="text1" w:themeFillTint="80"/>
          </w:tcPr>
          <w:p w:rsidR="00702FD7" w:rsidRPr="00FE741C" w:rsidRDefault="00702FD7" w:rsidP="003453A1">
            <w:pPr>
              <w:tabs>
                <w:tab w:val="left" w:pos="2625"/>
              </w:tabs>
              <w:jc w:val="center"/>
              <w:rPr>
                <w:rFonts w:ascii="Times New Roman" w:hAnsi="Times New Roman" w:cs="Times New Roman"/>
                <w:b/>
                <w:sz w:val="24"/>
                <w:szCs w:val="24"/>
              </w:rPr>
            </w:pPr>
            <w:r w:rsidRPr="00FE741C">
              <w:rPr>
                <w:rFonts w:ascii="Times New Roman" w:hAnsi="Times New Roman" w:cs="Times New Roman"/>
                <w:b/>
                <w:sz w:val="24"/>
                <w:szCs w:val="24"/>
              </w:rPr>
              <w:t>Available 2013/14</w:t>
            </w:r>
          </w:p>
          <w:p w:rsidR="00694E92" w:rsidRPr="00FE741C" w:rsidRDefault="00694E92" w:rsidP="003453A1">
            <w:pPr>
              <w:tabs>
                <w:tab w:val="left" w:pos="2625"/>
              </w:tabs>
              <w:jc w:val="center"/>
              <w:rPr>
                <w:rFonts w:ascii="Times New Roman" w:hAnsi="Times New Roman" w:cs="Times New Roman"/>
                <w:b/>
                <w:sz w:val="24"/>
                <w:szCs w:val="24"/>
              </w:rPr>
            </w:pPr>
          </w:p>
        </w:tc>
        <w:tc>
          <w:tcPr>
            <w:tcW w:w="3081" w:type="dxa"/>
            <w:shd w:val="clear" w:color="auto" w:fill="7F7F7F" w:themeFill="text1" w:themeFillTint="80"/>
          </w:tcPr>
          <w:p w:rsidR="00702FD7" w:rsidRPr="00FE741C" w:rsidRDefault="00702FD7" w:rsidP="003453A1">
            <w:pPr>
              <w:tabs>
                <w:tab w:val="left" w:pos="2625"/>
              </w:tabs>
              <w:jc w:val="center"/>
              <w:rPr>
                <w:rFonts w:ascii="Times New Roman" w:hAnsi="Times New Roman" w:cs="Times New Roman"/>
                <w:b/>
                <w:sz w:val="24"/>
                <w:szCs w:val="24"/>
              </w:rPr>
            </w:pPr>
            <w:r w:rsidRPr="00FE741C">
              <w:rPr>
                <w:rFonts w:ascii="Times New Roman" w:hAnsi="Times New Roman" w:cs="Times New Roman"/>
                <w:b/>
                <w:sz w:val="24"/>
                <w:szCs w:val="24"/>
              </w:rPr>
              <w:t>2014/15</w:t>
            </w:r>
          </w:p>
        </w:tc>
        <w:tc>
          <w:tcPr>
            <w:tcW w:w="3081" w:type="dxa"/>
            <w:shd w:val="clear" w:color="auto" w:fill="7F7F7F" w:themeFill="text1" w:themeFillTint="80"/>
          </w:tcPr>
          <w:p w:rsidR="00702FD7" w:rsidRPr="00FE741C" w:rsidRDefault="005C2876" w:rsidP="003453A1">
            <w:pPr>
              <w:tabs>
                <w:tab w:val="left" w:pos="2625"/>
              </w:tabs>
              <w:jc w:val="center"/>
              <w:rPr>
                <w:rFonts w:ascii="Times New Roman" w:hAnsi="Times New Roman" w:cs="Times New Roman"/>
                <w:b/>
                <w:sz w:val="24"/>
                <w:szCs w:val="24"/>
              </w:rPr>
            </w:pPr>
            <w:r>
              <w:rPr>
                <w:rFonts w:ascii="Times New Roman" w:hAnsi="Times New Roman" w:cs="Times New Roman"/>
                <w:b/>
                <w:sz w:val="24"/>
                <w:szCs w:val="24"/>
              </w:rPr>
              <w:t>2016/17</w:t>
            </w:r>
            <w:bookmarkStart w:id="0" w:name="_GoBack"/>
            <w:bookmarkEnd w:id="0"/>
          </w:p>
        </w:tc>
      </w:tr>
      <w:tr w:rsidR="00CA6320" w:rsidTr="003453A1">
        <w:tc>
          <w:tcPr>
            <w:tcW w:w="3080" w:type="dxa"/>
          </w:tcPr>
          <w:p w:rsidR="00CA6320" w:rsidRDefault="00CA6320" w:rsidP="00CA6320">
            <w:pPr>
              <w:tabs>
                <w:tab w:val="left" w:pos="2625"/>
              </w:tabs>
              <w:rPr>
                <w:rFonts w:ascii="Times New Roman" w:hAnsi="Times New Roman" w:cs="Times New Roman"/>
                <w:b/>
                <w:sz w:val="24"/>
                <w:szCs w:val="24"/>
              </w:rPr>
            </w:pPr>
            <w:r>
              <w:rPr>
                <w:rFonts w:ascii="Times New Roman" w:hAnsi="Times New Roman" w:cs="Times New Roman"/>
                <w:b/>
                <w:sz w:val="24"/>
                <w:szCs w:val="24"/>
              </w:rPr>
              <w:t>Learning Ladder</w:t>
            </w:r>
          </w:p>
        </w:tc>
        <w:tc>
          <w:tcPr>
            <w:tcW w:w="3081" w:type="dxa"/>
          </w:tcPr>
          <w:p w:rsidR="00CA6320" w:rsidRDefault="00CA6320" w:rsidP="00CA6320">
            <w:pPr>
              <w:tabs>
                <w:tab w:val="left" w:pos="2625"/>
              </w:tabs>
              <w:rPr>
                <w:rFonts w:ascii="Times New Roman" w:hAnsi="Times New Roman" w:cs="Times New Roman"/>
                <w:b/>
                <w:sz w:val="24"/>
                <w:szCs w:val="24"/>
              </w:rPr>
            </w:pPr>
            <w:r>
              <w:rPr>
                <w:rFonts w:ascii="Times New Roman" w:hAnsi="Times New Roman" w:cs="Times New Roman"/>
                <w:b/>
                <w:sz w:val="24"/>
                <w:szCs w:val="24"/>
              </w:rPr>
              <w:t>Learning Ladder</w:t>
            </w:r>
          </w:p>
        </w:tc>
        <w:tc>
          <w:tcPr>
            <w:tcW w:w="3081" w:type="dxa"/>
          </w:tcPr>
          <w:p w:rsidR="00CA6320" w:rsidRDefault="00CA6320" w:rsidP="00CA6320">
            <w:pPr>
              <w:tabs>
                <w:tab w:val="left" w:pos="2625"/>
              </w:tabs>
              <w:rPr>
                <w:rFonts w:ascii="Times New Roman" w:hAnsi="Times New Roman" w:cs="Times New Roman"/>
                <w:b/>
                <w:sz w:val="24"/>
                <w:szCs w:val="24"/>
              </w:rPr>
            </w:pPr>
            <w:r>
              <w:rPr>
                <w:rFonts w:ascii="Times New Roman" w:hAnsi="Times New Roman" w:cs="Times New Roman"/>
                <w:b/>
                <w:sz w:val="24"/>
                <w:szCs w:val="24"/>
              </w:rPr>
              <w:t>Boxhall Added Value (trial)</w:t>
            </w:r>
          </w:p>
        </w:tc>
      </w:tr>
      <w:tr w:rsidR="00CA6320" w:rsidTr="003453A1">
        <w:tc>
          <w:tcPr>
            <w:tcW w:w="3080" w:type="dxa"/>
          </w:tcPr>
          <w:p w:rsidR="00CA6320" w:rsidRDefault="00CA6320" w:rsidP="00CA6320">
            <w:pPr>
              <w:tabs>
                <w:tab w:val="left" w:pos="2625"/>
              </w:tabs>
              <w:rPr>
                <w:rFonts w:ascii="Times New Roman" w:hAnsi="Times New Roman" w:cs="Times New Roman"/>
                <w:b/>
                <w:sz w:val="24"/>
                <w:szCs w:val="24"/>
              </w:rPr>
            </w:pPr>
            <w:r>
              <w:rPr>
                <w:rFonts w:ascii="Times New Roman" w:hAnsi="Times New Roman" w:cs="Times New Roman"/>
                <w:b/>
                <w:sz w:val="24"/>
                <w:szCs w:val="24"/>
              </w:rPr>
              <w:t xml:space="preserve">Core </w:t>
            </w:r>
            <w:r w:rsidR="0071331F">
              <w:rPr>
                <w:rFonts w:ascii="Times New Roman" w:hAnsi="Times New Roman" w:cs="Times New Roman"/>
                <w:b/>
                <w:sz w:val="24"/>
                <w:szCs w:val="24"/>
              </w:rPr>
              <w:t>– B Squared Eng/Maths</w:t>
            </w:r>
          </w:p>
        </w:tc>
        <w:tc>
          <w:tcPr>
            <w:tcW w:w="3081" w:type="dxa"/>
          </w:tcPr>
          <w:p w:rsidR="00CA6320" w:rsidRDefault="00CA6320" w:rsidP="00CA6320">
            <w:pPr>
              <w:tabs>
                <w:tab w:val="left" w:pos="2625"/>
              </w:tabs>
              <w:rPr>
                <w:rFonts w:ascii="Times New Roman" w:hAnsi="Times New Roman" w:cs="Times New Roman"/>
                <w:b/>
                <w:sz w:val="24"/>
                <w:szCs w:val="24"/>
              </w:rPr>
            </w:pPr>
            <w:r>
              <w:rPr>
                <w:rFonts w:ascii="Times New Roman" w:hAnsi="Times New Roman" w:cs="Times New Roman"/>
                <w:b/>
                <w:sz w:val="24"/>
                <w:szCs w:val="24"/>
              </w:rPr>
              <w:t>Provision Map</w:t>
            </w:r>
          </w:p>
        </w:tc>
        <w:tc>
          <w:tcPr>
            <w:tcW w:w="3081" w:type="dxa"/>
          </w:tcPr>
          <w:p w:rsidR="00CA6320" w:rsidRDefault="00CA6320" w:rsidP="00CA6320">
            <w:pPr>
              <w:tabs>
                <w:tab w:val="left" w:pos="2625"/>
              </w:tabs>
              <w:rPr>
                <w:rFonts w:ascii="Times New Roman" w:hAnsi="Times New Roman" w:cs="Times New Roman"/>
                <w:b/>
                <w:sz w:val="24"/>
                <w:szCs w:val="24"/>
              </w:rPr>
            </w:pPr>
            <w:r>
              <w:rPr>
                <w:rFonts w:ascii="Times New Roman" w:hAnsi="Times New Roman" w:cs="Times New Roman"/>
                <w:b/>
                <w:sz w:val="24"/>
                <w:szCs w:val="24"/>
              </w:rPr>
              <w:t>Learning Ladder</w:t>
            </w:r>
          </w:p>
        </w:tc>
      </w:tr>
      <w:tr w:rsidR="00CA6320" w:rsidTr="003453A1">
        <w:tc>
          <w:tcPr>
            <w:tcW w:w="3080" w:type="dxa"/>
          </w:tcPr>
          <w:p w:rsidR="00CA6320" w:rsidRDefault="00CA6320" w:rsidP="00CA6320">
            <w:pPr>
              <w:tabs>
                <w:tab w:val="left" w:pos="2625"/>
              </w:tabs>
              <w:rPr>
                <w:rFonts w:ascii="Times New Roman" w:hAnsi="Times New Roman" w:cs="Times New Roman"/>
                <w:b/>
                <w:sz w:val="24"/>
                <w:szCs w:val="24"/>
              </w:rPr>
            </w:pPr>
            <w:r>
              <w:rPr>
                <w:rFonts w:ascii="Times New Roman" w:hAnsi="Times New Roman" w:cs="Times New Roman"/>
                <w:b/>
                <w:sz w:val="24"/>
                <w:szCs w:val="24"/>
              </w:rPr>
              <w:t xml:space="preserve">Baseline </w:t>
            </w:r>
            <w:r w:rsidR="0071331F">
              <w:rPr>
                <w:rFonts w:ascii="Times New Roman" w:hAnsi="Times New Roman" w:cs="Times New Roman"/>
                <w:b/>
                <w:sz w:val="24"/>
                <w:szCs w:val="24"/>
              </w:rPr>
              <w:t xml:space="preserve">on Entry </w:t>
            </w:r>
          </w:p>
        </w:tc>
        <w:tc>
          <w:tcPr>
            <w:tcW w:w="3081" w:type="dxa"/>
          </w:tcPr>
          <w:p w:rsidR="00CA6320" w:rsidRDefault="00CA6320" w:rsidP="00702FD7">
            <w:pPr>
              <w:tabs>
                <w:tab w:val="left" w:pos="2625"/>
              </w:tabs>
              <w:rPr>
                <w:rFonts w:ascii="Times New Roman" w:hAnsi="Times New Roman" w:cs="Times New Roman"/>
                <w:b/>
                <w:sz w:val="24"/>
                <w:szCs w:val="24"/>
              </w:rPr>
            </w:pPr>
            <w:r>
              <w:rPr>
                <w:rFonts w:ascii="Times New Roman" w:hAnsi="Times New Roman" w:cs="Times New Roman"/>
                <w:b/>
                <w:sz w:val="24"/>
                <w:szCs w:val="24"/>
              </w:rPr>
              <w:t>IEP</w:t>
            </w:r>
          </w:p>
        </w:tc>
        <w:tc>
          <w:tcPr>
            <w:tcW w:w="3081" w:type="dxa"/>
          </w:tcPr>
          <w:p w:rsidR="00CA6320" w:rsidRDefault="00CA6320" w:rsidP="00CA6320">
            <w:pPr>
              <w:tabs>
                <w:tab w:val="left" w:pos="2625"/>
              </w:tabs>
              <w:rPr>
                <w:rFonts w:ascii="Times New Roman" w:hAnsi="Times New Roman" w:cs="Times New Roman"/>
                <w:b/>
                <w:sz w:val="24"/>
                <w:szCs w:val="24"/>
              </w:rPr>
            </w:pPr>
            <w:r>
              <w:rPr>
                <w:rFonts w:ascii="Times New Roman" w:hAnsi="Times New Roman" w:cs="Times New Roman"/>
                <w:b/>
                <w:sz w:val="24"/>
                <w:szCs w:val="24"/>
              </w:rPr>
              <w:t>ILP</w:t>
            </w:r>
          </w:p>
        </w:tc>
      </w:tr>
      <w:tr w:rsidR="00CA6320" w:rsidTr="003453A1">
        <w:tc>
          <w:tcPr>
            <w:tcW w:w="3080" w:type="dxa"/>
          </w:tcPr>
          <w:p w:rsidR="00CA6320" w:rsidRDefault="0071331F" w:rsidP="00CA6320">
            <w:pPr>
              <w:tabs>
                <w:tab w:val="left" w:pos="2625"/>
              </w:tabs>
              <w:rPr>
                <w:rFonts w:ascii="Times New Roman" w:hAnsi="Times New Roman" w:cs="Times New Roman"/>
                <w:b/>
                <w:sz w:val="24"/>
                <w:szCs w:val="24"/>
              </w:rPr>
            </w:pPr>
            <w:r>
              <w:rPr>
                <w:rFonts w:ascii="Times New Roman" w:hAnsi="Times New Roman" w:cs="Times New Roman"/>
                <w:b/>
                <w:sz w:val="24"/>
                <w:szCs w:val="24"/>
              </w:rPr>
              <w:t xml:space="preserve">Accreditation Scores </w:t>
            </w:r>
          </w:p>
        </w:tc>
        <w:tc>
          <w:tcPr>
            <w:tcW w:w="3081" w:type="dxa"/>
          </w:tcPr>
          <w:p w:rsidR="00CA6320" w:rsidRDefault="001A3E78" w:rsidP="00CA6320">
            <w:pPr>
              <w:tabs>
                <w:tab w:val="left" w:pos="2625"/>
              </w:tabs>
              <w:rPr>
                <w:rFonts w:ascii="Times New Roman" w:hAnsi="Times New Roman" w:cs="Times New Roman"/>
                <w:b/>
                <w:sz w:val="24"/>
                <w:szCs w:val="24"/>
              </w:rPr>
            </w:pPr>
            <w:r>
              <w:rPr>
                <w:rFonts w:ascii="Times New Roman" w:hAnsi="Times New Roman" w:cs="Times New Roman"/>
                <w:b/>
                <w:sz w:val="24"/>
                <w:szCs w:val="24"/>
              </w:rPr>
              <w:t>Core</w:t>
            </w:r>
            <w:r w:rsidR="0071331F">
              <w:rPr>
                <w:rFonts w:ascii="Times New Roman" w:hAnsi="Times New Roman" w:cs="Times New Roman"/>
                <w:b/>
                <w:sz w:val="24"/>
                <w:szCs w:val="24"/>
              </w:rPr>
              <w:t xml:space="preserve"> B Squared</w:t>
            </w:r>
          </w:p>
        </w:tc>
        <w:tc>
          <w:tcPr>
            <w:tcW w:w="3081" w:type="dxa"/>
          </w:tcPr>
          <w:p w:rsidR="00CA6320" w:rsidRDefault="001A3E78" w:rsidP="00CA6320">
            <w:pPr>
              <w:tabs>
                <w:tab w:val="left" w:pos="2625"/>
              </w:tabs>
              <w:rPr>
                <w:rFonts w:ascii="Times New Roman" w:hAnsi="Times New Roman" w:cs="Times New Roman"/>
                <w:b/>
                <w:sz w:val="24"/>
                <w:szCs w:val="24"/>
              </w:rPr>
            </w:pPr>
            <w:r>
              <w:rPr>
                <w:rFonts w:ascii="Times New Roman" w:hAnsi="Times New Roman" w:cs="Times New Roman"/>
                <w:b/>
                <w:sz w:val="24"/>
                <w:szCs w:val="24"/>
              </w:rPr>
              <w:t>Provision Map</w:t>
            </w:r>
          </w:p>
        </w:tc>
      </w:tr>
      <w:tr w:rsidR="00CA6320" w:rsidTr="003453A1">
        <w:tc>
          <w:tcPr>
            <w:tcW w:w="3080" w:type="dxa"/>
          </w:tcPr>
          <w:p w:rsidR="00CA6320" w:rsidRDefault="00F93E15" w:rsidP="00CA6320">
            <w:pPr>
              <w:tabs>
                <w:tab w:val="left" w:pos="2625"/>
              </w:tabs>
              <w:rPr>
                <w:rFonts w:ascii="Times New Roman" w:hAnsi="Times New Roman" w:cs="Times New Roman"/>
                <w:b/>
                <w:sz w:val="24"/>
                <w:szCs w:val="24"/>
              </w:rPr>
            </w:pPr>
            <w:r>
              <w:rPr>
                <w:rFonts w:ascii="Times New Roman" w:hAnsi="Times New Roman" w:cs="Times New Roman"/>
                <w:b/>
                <w:sz w:val="24"/>
                <w:szCs w:val="24"/>
              </w:rPr>
              <w:t>IEP</w:t>
            </w:r>
          </w:p>
        </w:tc>
        <w:tc>
          <w:tcPr>
            <w:tcW w:w="3081" w:type="dxa"/>
          </w:tcPr>
          <w:p w:rsidR="00CA6320" w:rsidRDefault="0071331F" w:rsidP="00CA6320">
            <w:pPr>
              <w:tabs>
                <w:tab w:val="left" w:pos="2625"/>
              </w:tabs>
              <w:rPr>
                <w:rFonts w:ascii="Times New Roman" w:hAnsi="Times New Roman" w:cs="Times New Roman"/>
                <w:b/>
                <w:sz w:val="24"/>
                <w:szCs w:val="24"/>
              </w:rPr>
            </w:pPr>
            <w:r>
              <w:rPr>
                <w:rFonts w:ascii="Times New Roman" w:hAnsi="Times New Roman" w:cs="Times New Roman"/>
                <w:b/>
                <w:sz w:val="24"/>
                <w:szCs w:val="24"/>
              </w:rPr>
              <w:t xml:space="preserve">Annual </w:t>
            </w:r>
            <w:r w:rsidR="001A3E78">
              <w:rPr>
                <w:rFonts w:ascii="Times New Roman" w:hAnsi="Times New Roman" w:cs="Times New Roman"/>
                <w:b/>
                <w:sz w:val="24"/>
                <w:szCs w:val="24"/>
              </w:rPr>
              <w:t>Progress</w:t>
            </w:r>
          </w:p>
        </w:tc>
        <w:tc>
          <w:tcPr>
            <w:tcW w:w="3081" w:type="dxa"/>
          </w:tcPr>
          <w:p w:rsidR="00CA6320" w:rsidRDefault="001A3E78" w:rsidP="00CA6320">
            <w:pPr>
              <w:tabs>
                <w:tab w:val="left" w:pos="2625"/>
              </w:tabs>
              <w:rPr>
                <w:rFonts w:ascii="Times New Roman" w:hAnsi="Times New Roman" w:cs="Times New Roman"/>
                <w:b/>
                <w:sz w:val="24"/>
                <w:szCs w:val="24"/>
              </w:rPr>
            </w:pPr>
            <w:r>
              <w:rPr>
                <w:rFonts w:ascii="Times New Roman" w:hAnsi="Times New Roman" w:cs="Times New Roman"/>
                <w:b/>
                <w:sz w:val="24"/>
                <w:szCs w:val="24"/>
              </w:rPr>
              <w:t>IEP</w:t>
            </w:r>
          </w:p>
        </w:tc>
      </w:tr>
      <w:tr w:rsidR="00CA6320" w:rsidTr="003453A1">
        <w:tc>
          <w:tcPr>
            <w:tcW w:w="3080" w:type="dxa"/>
          </w:tcPr>
          <w:p w:rsidR="00CA6320" w:rsidRDefault="00CA6320" w:rsidP="00CA6320">
            <w:pPr>
              <w:tabs>
                <w:tab w:val="left" w:pos="2625"/>
              </w:tabs>
              <w:rPr>
                <w:rFonts w:ascii="Times New Roman" w:hAnsi="Times New Roman" w:cs="Times New Roman"/>
                <w:b/>
                <w:sz w:val="24"/>
                <w:szCs w:val="24"/>
              </w:rPr>
            </w:pPr>
          </w:p>
        </w:tc>
        <w:tc>
          <w:tcPr>
            <w:tcW w:w="3081" w:type="dxa"/>
          </w:tcPr>
          <w:p w:rsidR="00CA6320" w:rsidRDefault="001A3E78" w:rsidP="00CA6320">
            <w:pPr>
              <w:tabs>
                <w:tab w:val="left" w:pos="2625"/>
              </w:tabs>
              <w:rPr>
                <w:rFonts w:ascii="Times New Roman" w:hAnsi="Times New Roman" w:cs="Times New Roman"/>
                <w:b/>
                <w:sz w:val="24"/>
                <w:szCs w:val="24"/>
              </w:rPr>
            </w:pPr>
            <w:r>
              <w:rPr>
                <w:rFonts w:ascii="Times New Roman" w:hAnsi="Times New Roman" w:cs="Times New Roman"/>
                <w:b/>
                <w:sz w:val="24"/>
                <w:szCs w:val="24"/>
              </w:rPr>
              <w:t xml:space="preserve">Baseline </w:t>
            </w:r>
            <w:r w:rsidR="0071331F">
              <w:rPr>
                <w:rFonts w:ascii="Times New Roman" w:hAnsi="Times New Roman" w:cs="Times New Roman"/>
                <w:b/>
                <w:sz w:val="24"/>
                <w:szCs w:val="24"/>
              </w:rPr>
              <w:t xml:space="preserve">on Entry </w:t>
            </w:r>
          </w:p>
        </w:tc>
        <w:tc>
          <w:tcPr>
            <w:tcW w:w="3081" w:type="dxa"/>
          </w:tcPr>
          <w:p w:rsidR="00CA6320" w:rsidRDefault="0071331F" w:rsidP="00CA6320">
            <w:pPr>
              <w:tabs>
                <w:tab w:val="left" w:pos="2625"/>
              </w:tabs>
              <w:rPr>
                <w:rFonts w:ascii="Times New Roman" w:hAnsi="Times New Roman" w:cs="Times New Roman"/>
                <w:b/>
                <w:sz w:val="24"/>
                <w:szCs w:val="24"/>
              </w:rPr>
            </w:pPr>
            <w:r>
              <w:rPr>
                <w:rFonts w:ascii="Times New Roman" w:hAnsi="Times New Roman" w:cs="Times New Roman"/>
                <w:b/>
                <w:sz w:val="24"/>
                <w:szCs w:val="24"/>
              </w:rPr>
              <w:t xml:space="preserve">Whole </w:t>
            </w:r>
            <w:r w:rsidR="001A3E78">
              <w:rPr>
                <w:rFonts w:ascii="Times New Roman" w:hAnsi="Times New Roman" w:cs="Times New Roman"/>
                <w:b/>
                <w:sz w:val="24"/>
                <w:szCs w:val="24"/>
              </w:rPr>
              <w:t>Curriculum covered</w:t>
            </w:r>
            <w:r>
              <w:rPr>
                <w:rFonts w:ascii="Times New Roman" w:hAnsi="Times New Roman" w:cs="Times New Roman"/>
                <w:b/>
                <w:sz w:val="24"/>
                <w:szCs w:val="24"/>
              </w:rPr>
              <w:t xml:space="preserve"> – B Squared </w:t>
            </w:r>
          </w:p>
        </w:tc>
      </w:tr>
      <w:tr w:rsidR="00CA6320" w:rsidTr="003453A1">
        <w:tc>
          <w:tcPr>
            <w:tcW w:w="3080" w:type="dxa"/>
          </w:tcPr>
          <w:p w:rsidR="00CA6320" w:rsidRDefault="00CA6320" w:rsidP="00CA6320">
            <w:pPr>
              <w:tabs>
                <w:tab w:val="left" w:pos="2625"/>
              </w:tabs>
              <w:rPr>
                <w:rFonts w:ascii="Times New Roman" w:hAnsi="Times New Roman" w:cs="Times New Roman"/>
                <w:b/>
                <w:sz w:val="24"/>
                <w:szCs w:val="24"/>
              </w:rPr>
            </w:pPr>
          </w:p>
        </w:tc>
        <w:tc>
          <w:tcPr>
            <w:tcW w:w="3081" w:type="dxa"/>
          </w:tcPr>
          <w:p w:rsidR="00CA6320" w:rsidRDefault="0071331F" w:rsidP="00CA6320">
            <w:pPr>
              <w:tabs>
                <w:tab w:val="left" w:pos="2625"/>
              </w:tabs>
              <w:rPr>
                <w:rFonts w:ascii="Times New Roman" w:hAnsi="Times New Roman" w:cs="Times New Roman"/>
                <w:b/>
                <w:sz w:val="24"/>
                <w:szCs w:val="24"/>
              </w:rPr>
            </w:pPr>
            <w:r>
              <w:rPr>
                <w:rFonts w:ascii="Times New Roman" w:hAnsi="Times New Roman" w:cs="Times New Roman"/>
                <w:b/>
                <w:sz w:val="24"/>
                <w:szCs w:val="24"/>
              </w:rPr>
              <w:t>Accreditation Scores</w:t>
            </w:r>
          </w:p>
        </w:tc>
        <w:tc>
          <w:tcPr>
            <w:tcW w:w="3081" w:type="dxa"/>
          </w:tcPr>
          <w:p w:rsidR="00CA6320" w:rsidRDefault="001A3E78" w:rsidP="00CA6320">
            <w:pPr>
              <w:tabs>
                <w:tab w:val="left" w:pos="2625"/>
              </w:tabs>
              <w:rPr>
                <w:rFonts w:ascii="Times New Roman" w:hAnsi="Times New Roman" w:cs="Times New Roman"/>
                <w:b/>
                <w:sz w:val="24"/>
                <w:szCs w:val="24"/>
              </w:rPr>
            </w:pPr>
            <w:r>
              <w:rPr>
                <w:rFonts w:ascii="Times New Roman" w:hAnsi="Times New Roman" w:cs="Times New Roman"/>
                <w:b/>
                <w:sz w:val="24"/>
                <w:szCs w:val="24"/>
              </w:rPr>
              <w:t xml:space="preserve">Core </w:t>
            </w:r>
            <w:r w:rsidR="0071331F">
              <w:rPr>
                <w:rFonts w:ascii="Times New Roman" w:hAnsi="Times New Roman" w:cs="Times New Roman"/>
                <w:b/>
                <w:sz w:val="24"/>
                <w:szCs w:val="24"/>
              </w:rPr>
              <w:t>B Squared</w:t>
            </w:r>
          </w:p>
        </w:tc>
      </w:tr>
      <w:tr w:rsidR="001A3E78" w:rsidTr="003453A1">
        <w:tc>
          <w:tcPr>
            <w:tcW w:w="3080" w:type="dxa"/>
          </w:tcPr>
          <w:p w:rsidR="001A3E78" w:rsidRDefault="001A3E78" w:rsidP="00CA6320">
            <w:pPr>
              <w:tabs>
                <w:tab w:val="left" w:pos="2625"/>
              </w:tabs>
              <w:rPr>
                <w:rFonts w:ascii="Times New Roman" w:hAnsi="Times New Roman" w:cs="Times New Roman"/>
                <w:b/>
                <w:sz w:val="24"/>
                <w:szCs w:val="24"/>
              </w:rPr>
            </w:pPr>
          </w:p>
        </w:tc>
        <w:tc>
          <w:tcPr>
            <w:tcW w:w="3081" w:type="dxa"/>
          </w:tcPr>
          <w:p w:rsidR="001A3E78" w:rsidRDefault="001A3E78" w:rsidP="00CA6320">
            <w:pPr>
              <w:tabs>
                <w:tab w:val="left" w:pos="2625"/>
              </w:tabs>
              <w:rPr>
                <w:rFonts w:ascii="Times New Roman" w:hAnsi="Times New Roman" w:cs="Times New Roman"/>
                <w:b/>
                <w:sz w:val="24"/>
                <w:szCs w:val="24"/>
              </w:rPr>
            </w:pPr>
          </w:p>
        </w:tc>
        <w:tc>
          <w:tcPr>
            <w:tcW w:w="3081" w:type="dxa"/>
          </w:tcPr>
          <w:p w:rsidR="001A3E78" w:rsidRDefault="0071331F" w:rsidP="00CA6320">
            <w:pPr>
              <w:tabs>
                <w:tab w:val="left" w:pos="2625"/>
              </w:tabs>
              <w:rPr>
                <w:rFonts w:ascii="Times New Roman" w:hAnsi="Times New Roman" w:cs="Times New Roman"/>
                <w:b/>
                <w:sz w:val="24"/>
                <w:szCs w:val="24"/>
              </w:rPr>
            </w:pPr>
            <w:r>
              <w:rPr>
                <w:rFonts w:ascii="Times New Roman" w:hAnsi="Times New Roman" w:cs="Times New Roman"/>
                <w:b/>
                <w:sz w:val="24"/>
                <w:szCs w:val="24"/>
              </w:rPr>
              <w:t xml:space="preserve">Termly </w:t>
            </w:r>
            <w:r w:rsidR="001A3E78">
              <w:rPr>
                <w:rFonts w:ascii="Times New Roman" w:hAnsi="Times New Roman" w:cs="Times New Roman"/>
                <w:b/>
                <w:sz w:val="24"/>
                <w:szCs w:val="24"/>
              </w:rPr>
              <w:t>Progress</w:t>
            </w:r>
          </w:p>
        </w:tc>
      </w:tr>
      <w:tr w:rsidR="001A3E78" w:rsidTr="003453A1">
        <w:tc>
          <w:tcPr>
            <w:tcW w:w="3080" w:type="dxa"/>
          </w:tcPr>
          <w:p w:rsidR="001A3E78" w:rsidRDefault="001A3E78" w:rsidP="00CA6320">
            <w:pPr>
              <w:tabs>
                <w:tab w:val="left" w:pos="2625"/>
              </w:tabs>
              <w:rPr>
                <w:rFonts w:ascii="Times New Roman" w:hAnsi="Times New Roman" w:cs="Times New Roman"/>
                <w:b/>
                <w:sz w:val="24"/>
                <w:szCs w:val="24"/>
              </w:rPr>
            </w:pPr>
          </w:p>
        </w:tc>
        <w:tc>
          <w:tcPr>
            <w:tcW w:w="3081" w:type="dxa"/>
          </w:tcPr>
          <w:p w:rsidR="001A3E78" w:rsidRDefault="001A3E78" w:rsidP="00CA6320">
            <w:pPr>
              <w:tabs>
                <w:tab w:val="left" w:pos="2625"/>
              </w:tabs>
              <w:rPr>
                <w:rFonts w:ascii="Times New Roman" w:hAnsi="Times New Roman" w:cs="Times New Roman"/>
                <w:b/>
                <w:sz w:val="24"/>
                <w:szCs w:val="24"/>
              </w:rPr>
            </w:pPr>
          </w:p>
        </w:tc>
        <w:tc>
          <w:tcPr>
            <w:tcW w:w="3081" w:type="dxa"/>
          </w:tcPr>
          <w:p w:rsidR="001A3E78" w:rsidRDefault="001A3E78" w:rsidP="00CA6320">
            <w:pPr>
              <w:tabs>
                <w:tab w:val="left" w:pos="2625"/>
              </w:tabs>
              <w:rPr>
                <w:rFonts w:ascii="Times New Roman" w:hAnsi="Times New Roman" w:cs="Times New Roman"/>
                <w:b/>
                <w:sz w:val="24"/>
                <w:szCs w:val="24"/>
              </w:rPr>
            </w:pPr>
            <w:r>
              <w:rPr>
                <w:rFonts w:ascii="Times New Roman" w:hAnsi="Times New Roman" w:cs="Times New Roman"/>
                <w:b/>
                <w:sz w:val="24"/>
                <w:szCs w:val="24"/>
              </w:rPr>
              <w:t>Intervention</w:t>
            </w:r>
            <w:r w:rsidR="0071331F">
              <w:rPr>
                <w:rFonts w:ascii="Times New Roman" w:hAnsi="Times New Roman" w:cs="Times New Roman"/>
                <w:b/>
                <w:sz w:val="24"/>
                <w:szCs w:val="24"/>
              </w:rPr>
              <w:t>s Data</w:t>
            </w:r>
          </w:p>
        </w:tc>
      </w:tr>
      <w:tr w:rsidR="001A3E78" w:rsidTr="003453A1">
        <w:tc>
          <w:tcPr>
            <w:tcW w:w="3080" w:type="dxa"/>
          </w:tcPr>
          <w:p w:rsidR="001A3E78" w:rsidRDefault="001A3E78" w:rsidP="00CA6320">
            <w:pPr>
              <w:tabs>
                <w:tab w:val="left" w:pos="2625"/>
              </w:tabs>
              <w:rPr>
                <w:rFonts w:ascii="Times New Roman" w:hAnsi="Times New Roman" w:cs="Times New Roman"/>
                <w:b/>
                <w:sz w:val="24"/>
                <w:szCs w:val="24"/>
              </w:rPr>
            </w:pPr>
          </w:p>
        </w:tc>
        <w:tc>
          <w:tcPr>
            <w:tcW w:w="3081" w:type="dxa"/>
          </w:tcPr>
          <w:p w:rsidR="001A3E78" w:rsidRDefault="001A3E78" w:rsidP="00CA6320">
            <w:pPr>
              <w:tabs>
                <w:tab w:val="left" w:pos="2625"/>
              </w:tabs>
              <w:rPr>
                <w:rFonts w:ascii="Times New Roman" w:hAnsi="Times New Roman" w:cs="Times New Roman"/>
                <w:b/>
                <w:sz w:val="24"/>
                <w:szCs w:val="24"/>
              </w:rPr>
            </w:pPr>
          </w:p>
        </w:tc>
        <w:tc>
          <w:tcPr>
            <w:tcW w:w="3081" w:type="dxa"/>
          </w:tcPr>
          <w:p w:rsidR="001A3E78" w:rsidRDefault="001A3E78" w:rsidP="00CA6320">
            <w:pPr>
              <w:tabs>
                <w:tab w:val="left" w:pos="2625"/>
              </w:tabs>
              <w:rPr>
                <w:rFonts w:ascii="Times New Roman" w:hAnsi="Times New Roman" w:cs="Times New Roman"/>
                <w:b/>
                <w:sz w:val="24"/>
                <w:szCs w:val="24"/>
              </w:rPr>
            </w:pPr>
            <w:r>
              <w:rPr>
                <w:rFonts w:ascii="Times New Roman" w:hAnsi="Times New Roman" w:cs="Times New Roman"/>
                <w:b/>
                <w:sz w:val="24"/>
                <w:szCs w:val="24"/>
              </w:rPr>
              <w:t xml:space="preserve">Baseline </w:t>
            </w:r>
            <w:r w:rsidR="0071331F">
              <w:rPr>
                <w:rFonts w:ascii="Times New Roman" w:hAnsi="Times New Roman" w:cs="Times New Roman"/>
                <w:b/>
                <w:sz w:val="24"/>
                <w:szCs w:val="24"/>
              </w:rPr>
              <w:t xml:space="preserve">on Entry </w:t>
            </w:r>
          </w:p>
        </w:tc>
      </w:tr>
      <w:tr w:rsidR="001A3E78" w:rsidTr="003453A1">
        <w:tc>
          <w:tcPr>
            <w:tcW w:w="3080" w:type="dxa"/>
          </w:tcPr>
          <w:p w:rsidR="001A3E78" w:rsidRDefault="001A3E78" w:rsidP="00CA6320">
            <w:pPr>
              <w:tabs>
                <w:tab w:val="left" w:pos="2625"/>
              </w:tabs>
              <w:rPr>
                <w:rFonts w:ascii="Times New Roman" w:hAnsi="Times New Roman" w:cs="Times New Roman"/>
                <w:b/>
                <w:sz w:val="24"/>
                <w:szCs w:val="24"/>
              </w:rPr>
            </w:pPr>
          </w:p>
        </w:tc>
        <w:tc>
          <w:tcPr>
            <w:tcW w:w="3081" w:type="dxa"/>
          </w:tcPr>
          <w:p w:rsidR="001A3E78" w:rsidRDefault="001A3E78" w:rsidP="00CA6320">
            <w:pPr>
              <w:tabs>
                <w:tab w:val="left" w:pos="2625"/>
              </w:tabs>
              <w:rPr>
                <w:rFonts w:ascii="Times New Roman" w:hAnsi="Times New Roman" w:cs="Times New Roman"/>
                <w:b/>
                <w:sz w:val="24"/>
                <w:szCs w:val="24"/>
              </w:rPr>
            </w:pPr>
          </w:p>
        </w:tc>
        <w:tc>
          <w:tcPr>
            <w:tcW w:w="3081" w:type="dxa"/>
          </w:tcPr>
          <w:p w:rsidR="001A3E78" w:rsidRDefault="0071331F" w:rsidP="00CA6320">
            <w:pPr>
              <w:tabs>
                <w:tab w:val="left" w:pos="2625"/>
              </w:tabs>
              <w:rPr>
                <w:rFonts w:ascii="Times New Roman" w:hAnsi="Times New Roman" w:cs="Times New Roman"/>
                <w:b/>
                <w:sz w:val="24"/>
                <w:szCs w:val="24"/>
              </w:rPr>
            </w:pPr>
            <w:r>
              <w:rPr>
                <w:rFonts w:ascii="Times New Roman" w:hAnsi="Times New Roman" w:cs="Times New Roman"/>
                <w:b/>
                <w:sz w:val="24"/>
                <w:szCs w:val="24"/>
              </w:rPr>
              <w:t>Accreditation Scores</w:t>
            </w:r>
          </w:p>
        </w:tc>
      </w:tr>
    </w:tbl>
    <w:p w:rsidR="00CA6320" w:rsidRDefault="00FE741C" w:rsidP="00CA6320">
      <w:pPr>
        <w:tabs>
          <w:tab w:val="left" w:pos="2625"/>
        </w:tabs>
        <w:rPr>
          <w:rFonts w:ascii="Times New Roman" w:hAnsi="Times New Roman" w:cs="Times New Roman"/>
          <w:b/>
          <w:sz w:val="24"/>
          <w:szCs w:val="24"/>
        </w:rPr>
      </w:pPr>
      <w:r w:rsidRPr="00FE741C">
        <w:rPr>
          <w:rFonts w:ascii="Times New Roman" w:hAnsi="Times New Roman" w:cs="Times New Roman"/>
          <w:b/>
          <w:noProof/>
          <w:sz w:val="24"/>
          <w:szCs w:val="24"/>
          <w:lang w:eastAsia="en-GB"/>
        </w:rPr>
        <mc:AlternateContent>
          <mc:Choice Requires="wps">
            <w:drawing>
              <wp:anchor distT="0" distB="0" distL="114300" distR="114300" simplePos="0" relativeHeight="251666432" behindDoc="0" locked="0" layoutInCell="1" allowOverlap="1" wp14:editId="36B11C9B">
                <wp:simplePos x="0" y="0"/>
                <wp:positionH relativeFrom="column">
                  <wp:posOffset>1647824</wp:posOffset>
                </wp:positionH>
                <wp:positionV relativeFrom="paragraph">
                  <wp:posOffset>106045</wp:posOffset>
                </wp:positionV>
                <wp:extent cx="2562225" cy="140398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3985"/>
                        </a:xfrm>
                        <a:prstGeom prst="rect">
                          <a:avLst/>
                        </a:prstGeom>
                        <a:solidFill>
                          <a:srgbClr val="FFFFFF"/>
                        </a:solidFill>
                        <a:ln w="9525">
                          <a:solidFill>
                            <a:srgbClr val="000000"/>
                          </a:solidFill>
                          <a:miter lim="800000"/>
                          <a:headEnd/>
                          <a:tailEnd/>
                        </a:ln>
                      </wps:spPr>
                      <wps:txbx>
                        <w:txbxContent>
                          <w:p w:rsidR="00B83C5C" w:rsidRPr="00FE741C" w:rsidRDefault="00B83C5C">
                            <w:pPr>
                              <w:rPr>
                                <w:b/>
                              </w:rPr>
                            </w:pPr>
                            <w:r w:rsidRPr="00FE741C">
                              <w:rPr>
                                <w:b/>
                              </w:rPr>
                              <w:t>Evidence from Head of Data 2014-16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1" type="#_x0000_t202" style="position:absolute;margin-left:129.75pt;margin-top:8.35pt;width:201.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">
                <v:textbox style="mso-fit-shape-to-text:t">
                  <w:txbxContent>
                    <w:p w:rsidR="008414C1" w:rsidRPr="00FE741C" w:rsidRDefault="008414C1">
                      <w:pPr>
                        <w:rPr>
                          <w:b/>
                        </w:rPr>
                      </w:pPr>
                      <w:r w:rsidRPr="00FE741C">
                        <w:rPr>
                          <w:b/>
                        </w:rPr>
                        <w:t>Evidence from Head of Data 2014-16</w:t>
                      </w:r>
                    </w:p>
                  </w:txbxContent>
                </v:textbox>
              </v:shape>
            </w:pict>
          </mc:Fallback>
        </mc:AlternateContent>
      </w:r>
    </w:p>
    <w:sectPr w:rsidR="00CA6320" w:rsidSect="003E67AB">
      <w:headerReference w:type="default" r:id="rId13"/>
      <w:footerReference w:type="default" r:id="rId14"/>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C5C" w:rsidRDefault="00B83C5C" w:rsidP="006265A0">
      <w:pPr>
        <w:spacing w:after="0" w:line="240" w:lineRule="auto"/>
      </w:pPr>
      <w:r>
        <w:separator/>
      </w:r>
    </w:p>
  </w:endnote>
  <w:endnote w:type="continuationSeparator" w:id="0">
    <w:p w:rsidR="00B83C5C" w:rsidRDefault="00B83C5C" w:rsidP="0062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063537"/>
      <w:docPartObj>
        <w:docPartGallery w:val="Page Numbers (Bottom of Page)"/>
        <w:docPartUnique/>
      </w:docPartObj>
    </w:sdtPr>
    <w:sdtEndPr>
      <w:rPr>
        <w:noProof/>
      </w:rPr>
    </w:sdtEndPr>
    <w:sdtContent>
      <w:p w:rsidR="00B83C5C" w:rsidRDefault="00B83C5C">
        <w:pPr>
          <w:pStyle w:val="Footer"/>
          <w:jc w:val="center"/>
        </w:pPr>
        <w:r>
          <w:fldChar w:fldCharType="begin"/>
        </w:r>
        <w:r>
          <w:instrText xml:space="preserve"> PAGE   \* MERGEFORMAT </w:instrText>
        </w:r>
        <w:r>
          <w:fldChar w:fldCharType="separate"/>
        </w:r>
        <w:r w:rsidR="005C2876">
          <w:rPr>
            <w:noProof/>
          </w:rPr>
          <w:t>4</w:t>
        </w:r>
        <w:r>
          <w:rPr>
            <w:noProof/>
          </w:rPr>
          <w:fldChar w:fldCharType="end"/>
        </w:r>
      </w:p>
    </w:sdtContent>
  </w:sdt>
  <w:p w:rsidR="00B83C5C" w:rsidRDefault="00B83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C5C" w:rsidRDefault="00B83C5C" w:rsidP="006265A0">
      <w:pPr>
        <w:spacing w:after="0" w:line="240" w:lineRule="auto"/>
      </w:pPr>
      <w:r>
        <w:separator/>
      </w:r>
    </w:p>
  </w:footnote>
  <w:footnote w:type="continuationSeparator" w:id="0">
    <w:p w:rsidR="00B83C5C" w:rsidRDefault="00B83C5C" w:rsidP="00626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5C" w:rsidRPr="00494FBB" w:rsidRDefault="00B83C5C" w:rsidP="00494FBB">
    <w:pPr>
      <w:pStyle w:val="Header"/>
      <w:jc w:val="center"/>
    </w:pPr>
    <w:r w:rsidRPr="00494FBB">
      <w:rPr>
        <w:noProof/>
        <w:lang w:eastAsia="en-GB"/>
      </w:rPr>
      <w:drawing>
        <wp:inline distT="0" distB="0" distL="0" distR="0" wp14:anchorId="7EB528E5" wp14:editId="06EEE204">
          <wp:extent cx="1047750" cy="638175"/>
          <wp:effectExtent l="0" t="0" r="0" b="9525"/>
          <wp:docPr id="4" name="Picture 4" descr="logo6_800x600_bord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6_800x600_borde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38175"/>
                  </a:xfrm>
                  <a:prstGeom prst="rect">
                    <a:avLst/>
                  </a:prstGeom>
                  <a:noFill/>
                  <a:ln>
                    <a:noFill/>
                  </a:ln>
                </pic:spPr>
              </pic:pic>
            </a:graphicData>
          </a:graphic>
        </wp:inline>
      </w:drawing>
    </w:r>
  </w:p>
  <w:p w:rsidR="00B83C5C" w:rsidRPr="00494FBB" w:rsidRDefault="00B83C5C" w:rsidP="00494FBB">
    <w:pPr>
      <w:pStyle w:val="Header"/>
      <w:jc w:val="center"/>
      <w:rPr>
        <w:b/>
        <w:i/>
      </w:rPr>
    </w:pPr>
    <w:r w:rsidRPr="00494FBB">
      <w:rPr>
        <w:b/>
        <w:i/>
      </w:rPr>
      <w:t>Weatherfield Academy</w:t>
    </w:r>
  </w:p>
  <w:p w:rsidR="00B83C5C" w:rsidRDefault="00B83C5C" w:rsidP="00494FBB">
    <w:pPr>
      <w:pStyle w:val="Header"/>
      <w:tabs>
        <w:tab w:val="clear" w:pos="4513"/>
        <w:tab w:val="clear" w:pos="9026"/>
        <w:tab w:val="left" w:pos="34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76318"/>
    <w:multiLevelType w:val="hybridMultilevel"/>
    <w:tmpl w:val="A1A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58"/>
    <w:rsid w:val="0005352C"/>
    <w:rsid w:val="000E29BF"/>
    <w:rsid w:val="001A3E78"/>
    <w:rsid w:val="00264058"/>
    <w:rsid w:val="002A2961"/>
    <w:rsid w:val="003453A1"/>
    <w:rsid w:val="003E67AB"/>
    <w:rsid w:val="004160F5"/>
    <w:rsid w:val="00494FBB"/>
    <w:rsid w:val="004B5F1E"/>
    <w:rsid w:val="005C2876"/>
    <w:rsid w:val="006265A0"/>
    <w:rsid w:val="00694E92"/>
    <w:rsid w:val="006F5E0C"/>
    <w:rsid w:val="00702FD7"/>
    <w:rsid w:val="0071331F"/>
    <w:rsid w:val="008414C1"/>
    <w:rsid w:val="00854032"/>
    <w:rsid w:val="00873EE9"/>
    <w:rsid w:val="008D52EB"/>
    <w:rsid w:val="00903733"/>
    <w:rsid w:val="00964B3D"/>
    <w:rsid w:val="009C54A0"/>
    <w:rsid w:val="00AE1C89"/>
    <w:rsid w:val="00AF7C1E"/>
    <w:rsid w:val="00B17D57"/>
    <w:rsid w:val="00B83C5C"/>
    <w:rsid w:val="00BB710D"/>
    <w:rsid w:val="00C05B75"/>
    <w:rsid w:val="00C61409"/>
    <w:rsid w:val="00CA6320"/>
    <w:rsid w:val="00CB3172"/>
    <w:rsid w:val="00CC07F4"/>
    <w:rsid w:val="00D4539F"/>
    <w:rsid w:val="00D92A7E"/>
    <w:rsid w:val="00E85EC8"/>
    <w:rsid w:val="00EA6368"/>
    <w:rsid w:val="00EB7CEF"/>
    <w:rsid w:val="00EC4B04"/>
    <w:rsid w:val="00F01CDC"/>
    <w:rsid w:val="00F93E15"/>
    <w:rsid w:val="00FE7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058"/>
    <w:rPr>
      <w:rFonts w:ascii="Tahoma" w:hAnsi="Tahoma" w:cs="Tahoma"/>
      <w:sz w:val="16"/>
      <w:szCs w:val="16"/>
    </w:rPr>
  </w:style>
  <w:style w:type="paragraph" w:styleId="Header">
    <w:name w:val="header"/>
    <w:basedOn w:val="Normal"/>
    <w:link w:val="HeaderChar"/>
    <w:uiPriority w:val="99"/>
    <w:unhideWhenUsed/>
    <w:rsid w:val="00626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5A0"/>
  </w:style>
  <w:style w:type="paragraph" w:styleId="Footer">
    <w:name w:val="footer"/>
    <w:basedOn w:val="Normal"/>
    <w:link w:val="FooterChar"/>
    <w:uiPriority w:val="99"/>
    <w:unhideWhenUsed/>
    <w:rsid w:val="00626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5A0"/>
  </w:style>
  <w:style w:type="table" w:styleId="TableGrid">
    <w:name w:val="Table Grid"/>
    <w:basedOn w:val="TableNormal"/>
    <w:uiPriority w:val="59"/>
    <w:rsid w:val="00CA6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14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058"/>
    <w:rPr>
      <w:rFonts w:ascii="Tahoma" w:hAnsi="Tahoma" w:cs="Tahoma"/>
      <w:sz w:val="16"/>
      <w:szCs w:val="16"/>
    </w:rPr>
  </w:style>
  <w:style w:type="paragraph" w:styleId="Header">
    <w:name w:val="header"/>
    <w:basedOn w:val="Normal"/>
    <w:link w:val="HeaderChar"/>
    <w:uiPriority w:val="99"/>
    <w:unhideWhenUsed/>
    <w:rsid w:val="00626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5A0"/>
  </w:style>
  <w:style w:type="paragraph" w:styleId="Footer">
    <w:name w:val="footer"/>
    <w:basedOn w:val="Normal"/>
    <w:link w:val="FooterChar"/>
    <w:uiPriority w:val="99"/>
    <w:unhideWhenUsed/>
    <w:rsid w:val="00626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5A0"/>
  </w:style>
  <w:style w:type="table" w:styleId="TableGrid">
    <w:name w:val="Table Grid"/>
    <w:basedOn w:val="TableNormal"/>
    <w:uiPriority w:val="59"/>
    <w:rsid w:val="00CA6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1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600"/>
              <a:t>Learning</a:t>
            </a:r>
            <a:r>
              <a:rPr lang="en-GB" sz="1600" baseline="0"/>
              <a:t> Walk Focus: Differentiation of tasks for pupils </a:t>
            </a:r>
            <a:endParaRPr lang="en-GB" sz="1600"/>
          </a:p>
        </c:rich>
      </c:tx>
      <c:layout/>
      <c:overlay val="0"/>
    </c:title>
    <c:autoTitleDeleted val="0"/>
    <c:plotArea>
      <c:layout>
        <c:manualLayout>
          <c:layoutTarget val="inner"/>
          <c:xMode val="edge"/>
          <c:yMode val="edge"/>
          <c:x val="0.19722220824633344"/>
          <c:y val="0.18281523633075275"/>
          <c:w val="0.77934861177496584"/>
          <c:h val="0.5027053971194777"/>
        </c:manualLayout>
      </c:layout>
      <c:barChart>
        <c:barDir val="col"/>
        <c:grouping val="clustered"/>
        <c:varyColors val="0"/>
        <c:ser>
          <c:idx val="0"/>
          <c:order val="0"/>
          <c:tx>
            <c:strRef>
              <c:f>Sheet1!$B$1</c:f>
              <c:strCache>
                <c:ptCount val="1"/>
                <c:pt idx="0">
                  <c:v>Autumn 2013</c:v>
                </c:pt>
              </c:strCache>
            </c:strRef>
          </c:tx>
          <c:spPr>
            <a:solidFill>
              <a:schemeClr val="accent2"/>
            </a:solidFill>
            <a:ln>
              <a:solidFill>
                <a:schemeClr val="tx2"/>
              </a:solidFill>
            </a:ln>
          </c:spPr>
          <c:invertIfNegative val="0"/>
          <c:dPt>
            <c:idx val="1"/>
            <c:invertIfNegative val="0"/>
            <c:bubble3D val="0"/>
            <c:spPr>
              <a:solidFill>
                <a:srgbClr val="00B050"/>
              </a:solidFill>
              <a:ln>
                <a:solidFill>
                  <a:schemeClr val="tx2"/>
                </a:solidFill>
              </a:ln>
            </c:spPr>
          </c:dPt>
          <c:dPt>
            <c:idx val="2"/>
            <c:invertIfNegative val="0"/>
            <c:bubble3D val="0"/>
            <c:spPr>
              <a:solidFill>
                <a:schemeClr val="tx2">
                  <a:lumMod val="60000"/>
                  <a:lumOff val="40000"/>
                </a:schemeClr>
              </a:solidFill>
              <a:ln>
                <a:solidFill>
                  <a:schemeClr val="tx2"/>
                </a:solidFill>
              </a:ln>
            </c:spPr>
          </c:dPt>
          <c:dLbls>
            <c:delete val="1"/>
          </c:dLbls>
          <c:cat>
            <c:strRef>
              <c:f>Sheet1!$A$2:$A$5</c:f>
              <c:strCache>
                <c:ptCount val="3"/>
                <c:pt idx="0">
                  <c:v>78 lessons </c:v>
                </c:pt>
                <c:pt idx="1">
                  <c:v>89 lessons </c:v>
                </c:pt>
                <c:pt idx="2">
                  <c:v>84 lessons</c:v>
                </c:pt>
              </c:strCache>
            </c:strRef>
          </c:cat>
          <c:val>
            <c:numRef>
              <c:f>Sheet1!$B$2:$B$5</c:f>
              <c:numCache>
                <c:formatCode>General</c:formatCode>
                <c:ptCount val="4"/>
                <c:pt idx="0" formatCode="0;[Red]0">
                  <c:v>55</c:v>
                </c:pt>
                <c:pt idx="1">
                  <c:v>68</c:v>
                </c:pt>
                <c:pt idx="2">
                  <c:v>85</c:v>
                </c:pt>
                <c:pt idx="3">
                  <c:v>90</c:v>
                </c:pt>
              </c:numCache>
            </c:numRef>
          </c:val>
        </c:ser>
        <c:ser>
          <c:idx val="1"/>
          <c:order val="1"/>
          <c:tx>
            <c:strRef>
              <c:f>Sheet1!$C$1</c:f>
              <c:strCache>
                <c:ptCount val="1"/>
                <c:pt idx="0">
                  <c:v>Autumn 2014</c:v>
                </c:pt>
              </c:strCache>
            </c:strRef>
          </c:tx>
          <c:invertIfNegative val="0"/>
          <c:cat>
            <c:strRef>
              <c:f>Sheet1!$A$2:$A$5</c:f>
              <c:strCache>
                <c:ptCount val="3"/>
                <c:pt idx="0">
                  <c:v>78 lessons </c:v>
                </c:pt>
                <c:pt idx="1">
                  <c:v>89 lessons </c:v>
                </c:pt>
                <c:pt idx="2">
                  <c:v>84 lessons</c:v>
                </c:pt>
              </c:strCache>
            </c:strRef>
          </c:cat>
          <c:val>
            <c:numRef>
              <c:f>Sheet1!$C$2:$C$5</c:f>
              <c:numCache>
                <c:formatCode>General</c:formatCode>
                <c:ptCount val="4"/>
              </c:numCache>
            </c:numRef>
          </c:val>
        </c:ser>
        <c:ser>
          <c:idx val="2"/>
          <c:order val="2"/>
          <c:tx>
            <c:strRef>
              <c:f>Sheet1!$D$1</c:f>
              <c:strCache>
                <c:ptCount val="1"/>
                <c:pt idx="0">
                  <c:v>Autumn 2015</c:v>
                </c:pt>
              </c:strCache>
            </c:strRef>
          </c:tx>
          <c:invertIfNegative val="0"/>
          <c:cat>
            <c:strRef>
              <c:f>Sheet1!$A$2:$A$5</c:f>
              <c:strCache>
                <c:ptCount val="3"/>
                <c:pt idx="0">
                  <c:v>78 lessons </c:v>
                </c:pt>
                <c:pt idx="1">
                  <c:v>89 lessons </c:v>
                </c:pt>
                <c:pt idx="2">
                  <c:v>84 lessons</c:v>
                </c:pt>
              </c:strCache>
            </c:strRef>
          </c:cat>
          <c:val>
            <c:numRef>
              <c:f>Sheet1!$D$2:$D$5</c:f>
              <c:numCache>
                <c:formatCode>General</c:formatCode>
                <c:ptCount val="4"/>
              </c:numCache>
            </c:numRef>
          </c:val>
        </c:ser>
        <c:dLbls>
          <c:showLegendKey val="0"/>
          <c:showVal val="1"/>
          <c:showCatName val="0"/>
          <c:showSerName val="0"/>
          <c:showPercent val="0"/>
          <c:showBubbleSize val="0"/>
        </c:dLbls>
        <c:gapWidth val="75"/>
        <c:axId val="154959360"/>
        <c:axId val="144123584"/>
      </c:barChart>
      <c:catAx>
        <c:axId val="154959360"/>
        <c:scaling>
          <c:orientation val="minMax"/>
        </c:scaling>
        <c:delete val="0"/>
        <c:axPos val="b"/>
        <c:majorTickMark val="none"/>
        <c:minorTickMark val="none"/>
        <c:tickLblPos val="nextTo"/>
        <c:crossAx val="144123584"/>
        <c:crosses val="autoZero"/>
        <c:auto val="1"/>
        <c:lblAlgn val="ctr"/>
        <c:lblOffset val="100"/>
        <c:noMultiLvlLbl val="0"/>
      </c:catAx>
      <c:valAx>
        <c:axId val="144123584"/>
        <c:scaling>
          <c:orientation val="minMax"/>
          <c:max val="100"/>
        </c:scaling>
        <c:delete val="0"/>
        <c:axPos val="l"/>
        <c:title>
          <c:tx>
            <c:rich>
              <a:bodyPr rot="0" vert="horz"/>
              <a:lstStyle/>
              <a:p>
                <a:pPr>
                  <a:defRPr/>
                </a:pPr>
                <a:r>
                  <a:rPr lang="en-GB"/>
                  <a:t>%</a:t>
                </a:r>
                <a:r>
                  <a:rPr lang="en-GB" baseline="0"/>
                  <a:t> </a:t>
                </a:r>
              </a:p>
              <a:p>
                <a:pPr>
                  <a:defRPr/>
                </a:pPr>
                <a:r>
                  <a:rPr lang="en-GB" baseline="0"/>
                  <a:t>Showing </a:t>
                </a:r>
              </a:p>
              <a:p>
                <a:pPr>
                  <a:defRPr/>
                </a:pPr>
                <a:r>
                  <a:rPr lang="en-GB" baseline="0"/>
                  <a:t>at least </a:t>
                </a:r>
              </a:p>
              <a:p>
                <a:pPr>
                  <a:defRPr/>
                </a:pPr>
                <a:r>
                  <a:rPr lang="en-GB" baseline="0"/>
                  <a:t>3 areas of</a:t>
                </a:r>
              </a:p>
              <a:p>
                <a:pPr>
                  <a:defRPr/>
                </a:pPr>
                <a:r>
                  <a:rPr lang="en-GB" baseline="0"/>
                  <a:t>diffentation </a:t>
                </a:r>
                <a:endParaRPr lang="en-GB"/>
              </a:p>
            </c:rich>
          </c:tx>
          <c:layout>
            <c:manualLayout>
              <c:xMode val="edge"/>
              <c:yMode val="edge"/>
              <c:x val="1.0649627263045794E-2"/>
              <c:y val="0.28283729239727384"/>
            </c:manualLayout>
          </c:layout>
          <c:overlay val="0"/>
        </c:title>
        <c:numFmt formatCode="General" sourceLinked="0"/>
        <c:majorTickMark val="none"/>
        <c:minorTickMark val="none"/>
        <c:tickLblPos val="nextTo"/>
        <c:crossAx val="154959360"/>
        <c:crosses val="autoZero"/>
        <c:crossBetween val="between"/>
      </c:valAx>
    </c:plotArea>
    <c:legend>
      <c:legendPos val="b"/>
      <c:layout>
        <c:manualLayout>
          <c:xMode val="edge"/>
          <c:yMode val="edge"/>
          <c:x val="1.9568569553805776E-2"/>
          <c:y val="0.90443288338957628"/>
          <c:w val="0.75715897491980155"/>
          <c:h val="7.1757592800899883E-2"/>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GB"/>
              <a:t>Subject</a:t>
            </a:r>
            <a:r>
              <a:rPr lang="en-GB" baseline="0"/>
              <a:t> Range of Accreditation (offered)</a:t>
            </a:r>
            <a:endParaRPr lang="en-GB"/>
          </a:p>
        </c:rich>
      </c:tx>
      <c:layout/>
      <c:overlay val="0"/>
    </c:title>
    <c:autoTitleDeleted val="0"/>
    <c:plotArea>
      <c:layout/>
      <c:barChart>
        <c:barDir val="col"/>
        <c:grouping val="clustered"/>
        <c:varyColors val="0"/>
        <c:ser>
          <c:idx val="1"/>
          <c:order val="1"/>
          <c:tx>
            <c:strRef>
              <c:f>Sheet1!$C$1</c:f>
              <c:strCache>
                <c:ptCount val="1"/>
                <c:pt idx="0">
                  <c:v>Entry 2</c:v>
                </c:pt>
              </c:strCache>
            </c:strRef>
          </c:tx>
          <c:invertIfNegative val="0"/>
          <c:cat>
            <c:strRef>
              <c:f>Sheet1!$A$2:$A$5</c:f>
              <c:strCache>
                <c:ptCount val="4"/>
                <c:pt idx="0">
                  <c:v>Summer '14</c:v>
                </c:pt>
                <c:pt idx="1">
                  <c:v>Summer '15</c:v>
                </c:pt>
                <c:pt idx="2">
                  <c:v>Summer '16</c:v>
                </c:pt>
                <c:pt idx="3">
                  <c:v>Summer'17</c:v>
                </c:pt>
              </c:strCache>
            </c:strRef>
          </c:cat>
          <c:val>
            <c:numRef>
              <c:f>Sheet1!$C$2:$C$5</c:f>
              <c:numCache>
                <c:formatCode>General</c:formatCode>
                <c:ptCount val="4"/>
              </c:numCache>
            </c:numRef>
          </c:val>
        </c:ser>
        <c:ser>
          <c:idx val="2"/>
          <c:order val="2"/>
          <c:tx>
            <c:strRef>
              <c:f>Sheet1!$D$1</c:f>
              <c:strCache>
                <c:ptCount val="1"/>
                <c:pt idx="0">
                  <c:v>Entry 3</c:v>
                </c:pt>
              </c:strCache>
            </c:strRef>
          </c:tx>
          <c:invertIfNegative val="0"/>
          <c:cat>
            <c:strRef>
              <c:f>Sheet1!$A$2:$A$5</c:f>
              <c:strCache>
                <c:ptCount val="4"/>
                <c:pt idx="0">
                  <c:v>Summer '14</c:v>
                </c:pt>
                <c:pt idx="1">
                  <c:v>Summer '15</c:v>
                </c:pt>
                <c:pt idx="2">
                  <c:v>Summer '16</c:v>
                </c:pt>
                <c:pt idx="3">
                  <c:v>Summer'17</c:v>
                </c:pt>
              </c:strCache>
            </c:strRef>
          </c:cat>
          <c:val>
            <c:numRef>
              <c:f>Sheet1!$D$2:$D$5</c:f>
              <c:numCache>
                <c:formatCode>General</c:formatCode>
                <c:ptCount val="4"/>
              </c:numCache>
            </c:numRef>
          </c:val>
        </c:ser>
        <c:ser>
          <c:idx val="3"/>
          <c:order val="3"/>
          <c:tx>
            <c:strRef>
              <c:f>Sheet1!$E$1</c:f>
              <c:strCache>
                <c:ptCount val="1"/>
                <c:pt idx="0">
                  <c:v>L1</c:v>
                </c:pt>
              </c:strCache>
            </c:strRef>
          </c:tx>
          <c:invertIfNegative val="0"/>
          <c:cat>
            <c:strRef>
              <c:f>Sheet1!$A$2:$A$5</c:f>
              <c:strCache>
                <c:ptCount val="4"/>
                <c:pt idx="0">
                  <c:v>Summer '14</c:v>
                </c:pt>
                <c:pt idx="1">
                  <c:v>Summer '15</c:v>
                </c:pt>
                <c:pt idx="2">
                  <c:v>Summer '16</c:v>
                </c:pt>
                <c:pt idx="3">
                  <c:v>Summer'17</c:v>
                </c:pt>
              </c:strCache>
            </c:strRef>
          </c:cat>
          <c:val>
            <c:numRef>
              <c:f>Sheet1!$E$2:$E$5</c:f>
              <c:numCache>
                <c:formatCode>General</c:formatCode>
                <c:ptCount val="4"/>
              </c:numCache>
            </c:numRef>
          </c:val>
        </c:ser>
        <c:ser>
          <c:idx val="4"/>
          <c:order val="4"/>
          <c:tx>
            <c:strRef>
              <c:f>Sheet1!$F$1</c:f>
              <c:strCache>
                <c:ptCount val="1"/>
                <c:pt idx="0">
                  <c:v>L2</c:v>
                </c:pt>
              </c:strCache>
            </c:strRef>
          </c:tx>
          <c:invertIfNegative val="0"/>
          <c:cat>
            <c:strRef>
              <c:f>Sheet1!$A$2:$A$5</c:f>
              <c:strCache>
                <c:ptCount val="4"/>
                <c:pt idx="0">
                  <c:v>Summer '14</c:v>
                </c:pt>
                <c:pt idx="1">
                  <c:v>Summer '15</c:v>
                </c:pt>
                <c:pt idx="2">
                  <c:v>Summer '16</c:v>
                </c:pt>
                <c:pt idx="3">
                  <c:v>Summer'17</c:v>
                </c:pt>
              </c:strCache>
            </c:strRef>
          </c:cat>
          <c:val>
            <c:numRef>
              <c:f>Sheet1!$F$2:$F$5</c:f>
              <c:numCache>
                <c:formatCode>General</c:formatCode>
                <c:ptCount val="4"/>
              </c:numCache>
            </c:numRef>
          </c:val>
        </c:ser>
        <c:dLbls>
          <c:dLblPos val="outEnd"/>
          <c:showLegendKey val="0"/>
          <c:showVal val="1"/>
          <c:showCatName val="0"/>
          <c:showSerName val="0"/>
          <c:showPercent val="0"/>
          <c:showBubbleSize val="0"/>
        </c:dLbls>
        <c:gapWidth val="75"/>
        <c:overlap val="-25"/>
        <c:axId val="73068032"/>
        <c:axId val="144124736"/>
      </c:barChart>
      <c:lineChart>
        <c:grouping val="standard"/>
        <c:varyColors val="0"/>
        <c:ser>
          <c:idx val="0"/>
          <c:order val="0"/>
          <c:tx>
            <c:strRef>
              <c:f>Sheet1!$B$1</c:f>
              <c:strCache>
                <c:ptCount val="1"/>
                <c:pt idx="0">
                  <c:v>Entry 1</c:v>
                </c:pt>
              </c:strCache>
            </c:strRef>
          </c:tx>
          <c:dLbls>
            <c:showLegendKey val="0"/>
            <c:showVal val="1"/>
            <c:showCatName val="0"/>
            <c:showSerName val="0"/>
            <c:showPercent val="0"/>
            <c:showBubbleSize val="0"/>
            <c:showLeaderLines val="0"/>
          </c:dLbls>
          <c:cat>
            <c:strRef>
              <c:f>Sheet1!$A$2:$A$5</c:f>
              <c:strCache>
                <c:ptCount val="4"/>
                <c:pt idx="0">
                  <c:v>Summer '14</c:v>
                </c:pt>
                <c:pt idx="1">
                  <c:v>Summer '15</c:v>
                </c:pt>
                <c:pt idx="2">
                  <c:v>Summer '16</c:v>
                </c:pt>
                <c:pt idx="3">
                  <c:v>Summer'17</c:v>
                </c:pt>
              </c:strCache>
            </c:strRef>
          </c:cat>
          <c:val>
            <c:numRef>
              <c:f>Sheet1!$B$2:$B$5</c:f>
              <c:numCache>
                <c:formatCode>General</c:formatCode>
                <c:ptCount val="4"/>
                <c:pt idx="0">
                  <c:v>7</c:v>
                </c:pt>
                <c:pt idx="1">
                  <c:v>10</c:v>
                </c:pt>
                <c:pt idx="2">
                  <c:v>12</c:v>
                </c:pt>
                <c:pt idx="3">
                  <c:v>18</c:v>
                </c:pt>
              </c:numCache>
            </c:numRef>
          </c:val>
          <c:smooth val="0"/>
        </c:ser>
        <c:dLbls>
          <c:showLegendKey val="0"/>
          <c:showVal val="0"/>
          <c:showCatName val="0"/>
          <c:showSerName val="0"/>
          <c:showPercent val="0"/>
          <c:showBubbleSize val="0"/>
        </c:dLbls>
        <c:marker val="1"/>
        <c:smooth val="0"/>
        <c:axId val="73068032"/>
        <c:axId val="144124736"/>
      </c:lineChart>
      <c:catAx>
        <c:axId val="73068032"/>
        <c:scaling>
          <c:orientation val="minMax"/>
        </c:scaling>
        <c:delete val="0"/>
        <c:axPos val="b"/>
        <c:majorTickMark val="none"/>
        <c:minorTickMark val="none"/>
        <c:tickLblPos val="nextTo"/>
        <c:crossAx val="144124736"/>
        <c:crosses val="autoZero"/>
        <c:auto val="1"/>
        <c:lblAlgn val="ctr"/>
        <c:lblOffset val="100"/>
        <c:noMultiLvlLbl val="0"/>
      </c:catAx>
      <c:valAx>
        <c:axId val="144124736"/>
        <c:scaling>
          <c:orientation val="minMax"/>
        </c:scaling>
        <c:delete val="0"/>
        <c:axPos val="l"/>
        <c:majorGridlines/>
        <c:numFmt formatCode="0;[Red]0" sourceLinked="0"/>
        <c:majorTickMark val="none"/>
        <c:minorTickMark val="none"/>
        <c:tickLblPos val="nextTo"/>
        <c:spPr>
          <a:ln w="9525">
            <a:noFill/>
          </a:ln>
        </c:spPr>
        <c:crossAx val="7306803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Range</a:t>
            </a:r>
            <a:r>
              <a:rPr lang="en-US" sz="1400" baseline="0"/>
              <a:t> of Awards, Accreditations &amp; Certificates Offered to Pupils at Weatherfield Academy 2015/16</a:t>
            </a:r>
            <a:endParaRPr lang="en-US" sz="1400"/>
          </a:p>
        </c:rich>
      </c:tx>
      <c:layout/>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E1</c:v>
                </c:pt>
                <c:pt idx="1">
                  <c:v>E2</c:v>
                </c:pt>
                <c:pt idx="2">
                  <c:v>E3</c:v>
                </c:pt>
                <c:pt idx="3">
                  <c:v>L1</c:v>
                </c:pt>
                <c:pt idx="4">
                  <c:v>L2</c:v>
                </c:pt>
                <c:pt idx="5">
                  <c:v>Vocational Awards</c:v>
                </c:pt>
              </c:strCache>
            </c:strRef>
          </c:cat>
          <c:val>
            <c:numRef>
              <c:f>Sheet1!$B$2:$B$7</c:f>
              <c:numCache>
                <c:formatCode>General</c:formatCode>
                <c:ptCount val="6"/>
                <c:pt idx="0">
                  <c:v>5</c:v>
                </c:pt>
                <c:pt idx="1">
                  <c:v>5</c:v>
                </c:pt>
                <c:pt idx="2">
                  <c:v>9</c:v>
                </c:pt>
                <c:pt idx="3">
                  <c:v>3</c:v>
                </c:pt>
                <c:pt idx="4">
                  <c:v>3</c:v>
                </c:pt>
                <c:pt idx="5">
                  <c:v>16</c:v>
                </c:pt>
              </c:numCache>
            </c:numRef>
          </c:val>
        </c:ser>
        <c:dLbls>
          <c:dLblPos val="inEnd"/>
          <c:showLegendKey val="0"/>
          <c:showVal val="1"/>
          <c:showCatName val="0"/>
          <c:showSerName val="0"/>
          <c:showPercent val="0"/>
          <c:showBubbleSize val="0"/>
        </c:dLbls>
        <c:gapWidth val="150"/>
        <c:axId val="154690048"/>
        <c:axId val="144126464"/>
      </c:barChart>
      <c:catAx>
        <c:axId val="154690048"/>
        <c:scaling>
          <c:orientation val="minMax"/>
        </c:scaling>
        <c:delete val="0"/>
        <c:axPos val="b"/>
        <c:majorTickMark val="none"/>
        <c:minorTickMark val="none"/>
        <c:tickLblPos val="nextTo"/>
        <c:crossAx val="144126464"/>
        <c:crosses val="autoZero"/>
        <c:auto val="1"/>
        <c:lblAlgn val="ctr"/>
        <c:lblOffset val="100"/>
        <c:noMultiLvlLbl val="0"/>
      </c:catAx>
      <c:valAx>
        <c:axId val="144126464"/>
        <c:scaling>
          <c:orientation val="minMax"/>
        </c:scaling>
        <c:delete val="0"/>
        <c:axPos val="l"/>
        <c:majorGridlines/>
        <c:numFmt formatCode="General" sourceLinked="1"/>
        <c:majorTickMark val="none"/>
        <c:minorTickMark val="none"/>
        <c:tickLblPos val="nextTo"/>
        <c:crossAx val="15469004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Learning</a:t>
            </a:r>
            <a:r>
              <a:rPr lang="en-GB" baseline="0"/>
              <a:t> Walk Evidence of 4 P's</a:t>
            </a:r>
            <a:endParaRPr lang="en-GB"/>
          </a:p>
        </c:rich>
      </c:tx>
      <c:layout/>
      <c:overlay val="1"/>
    </c:title>
    <c:autoTitleDeleted val="0"/>
    <c:plotArea>
      <c:layout/>
      <c:barChart>
        <c:barDir val="col"/>
        <c:grouping val="clustered"/>
        <c:varyColors val="0"/>
        <c:ser>
          <c:idx val="0"/>
          <c:order val="0"/>
          <c:tx>
            <c:strRef>
              <c:f>Sheet1!$B$1</c:f>
              <c:strCache>
                <c:ptCount val="1"/>
                <c:pt idx="0">
                  <c:v>Pace</c:v>
                </c:pt>
              </c:strCache>
            </c:strRef>
          </c:tx>
          <c:invertIfNegative val="0"/>
          <c:cat>
            <c:strRef>
              <c:f>Sheet1!$A$2:$A$5</c:f>
              <c:strCache>
                <c:ptCount val="4"/>
                <c:pt idx="0">
                  <c:v>Spring '14</c:v>
                </c:pt>
                <c:pt idx="1">
                  <c:v>Spring '15</c:v>
                </c:pt>
                <c:pt idx="2">
                  <c:v>Spring '16</c:v>
                </c:pt>
                <c:pt idx="3">
                  <c:v>Spring '17</c:v>
                </c:pt>
              </c:strCache>
            </c:strRef>
          </c:cat>
          <c:val>
            <c:numRef>
              <c:f>Sheet1!$B$2:$B$5</c:f>
              <c:numCache>
                <c:formatCode>0%</c:formatCode>
                <c:ptCount val="4"/>
                <c:pt idx="0">
                  <c:v>0.8</c:v>
                </c:pt>
                <c:pt idx="1">
                  <c:v>0.87</c:v>
                </c:pt>
                <c:pt idx="2">
                  <c:v>0.9</c:v>
                </c:pt>
                <c:pt idx="3">
                  <c:v>0.93</c:v>
                </c:pt>
              </c:numCache>
            </c:numRef>
          </c:val>
        </c:ser>
        <c:ser>
          <c:idx val="1"/>
          <c:order val="1"/>
          <c:tx>
            <c:strRef>
              <c:f>Sheet1!$C$1</c:f>
              <c:strCache>
                <c:ptCount val="1"/>
                <c:pt idx="0">
                  <c:v>Planning</c:v>
                </c:pt>
              </c:strCache>
            </c:strRef>
          </c:tx>
          <c:invertIfNegative val="0"/>
          <c:cat>
            <c:strRef>
              <c:f>Sheet1!$A$2:$A$5</c:f>
              <c:strCache>
                <c:ptCount val="4"/>
                <c:pt idx="0">
                  <c:v>Spring '14</c:v>
                </c:pt>
                <c:pt idx="1">
                  <c:v>Spring '15</c:v>
                </c:pt>
                <c:pt idx="2">
                  <c:v>Spring '16</c:v>
                </c:pt>
                <c:pt idx="3">
                  <c:v>Spring '17</c:v>
                </c:pt>
              </c:strCache>
            </c:strRef>
          </c:cat>
          <c:val>
            <c:numRef>
              <c:f>Sheet1!$C$2:$C$5</c:f>
              <c:numCache>
                <c:formatCode>General</c:formatCode>
                <c:ptCount val="4"/>
              </c:numCache>
            </c:numRef>
          </c:val>
        </c:ser>
        <c:ser>
          <c:idx val="2"/>
          <c:order val="2"/>
          <c:tx>
            <c:strRef>
              <c:f>Sheet1!$D$1</c:f>
              <c:strCache>
                <c:ptCount val="1"/>
                <c:pt idx="0">
                  <c:v>Participation</c:v>
                </c:pt>
              </c:strCache>
            </c:strRef>
          </c:tx>
          <c:invertIfNegative val="0"/>
          <c:cat>
            <c:strRef>
              <c:f>Sheet1!$A$2:$A$5</c:f>
              <c:strCache>
                <c:ptCount val="4"/>
                <c:pt idx="0">
                  <c:v>Spring '14</c:v>
                </c:pt>
                <c:pt idx="1">
                  <c:v>Spring '15</c:v>
                </c:pt>
                <c:pt idx="2">
                  <c:v>Spring '16</c:v>
                </c:pt>
                <c:pt idx="3">
                  <c:v>Spring '17</c:v>
                </c:pt>
              </c:strCache>
            </c:strRef>
          </c:cat>
          <c:val>
            <c:numRef>
              <c:f>Sheet1!$D$2:$D$5</c:f>
              <c:numCache>
                <c:formatCode>General</c:formatCode>
                <c:ptCount val="4"/>
              </c:numCache>
            </c:numRef>
          </c:val>
        </c:ser>
        <c:ser>
          <c:idx val="3"/>
          <c:order val="3"/>
          <c:tx>
            <c:strRef>
              <c:f>Sheet1!$E$1</c:f>
              <c:strCache>
                <c:ptCount val="1"/>
                <c:pt idx="0">
                  <c:v>Progression</c:v>
                </c:pt>
              </c:strCache>
            </c:strRef>
          </c:tx>
          <c:invertIfNegative val="0"/>
          <c:cat>
            <c:strRef>
              <c:f>Sheet1!$A$2:$A$5</c:f>
              <c:strCache>
                <c:ptCount val="4"/>
                <c:pt idx="0">
                  <c:v>Spring '14</c:v>
                </c:pt>
                <c:pt idx="1">
                  <c:v>Spring '15</c:v>
                </c:pt>
                <c:pt idx="2">
                  <c:v>Spring '16</c:v>
                </c:pt>
                <c:pt idx="3">
                  <c:v>Spring '17</c:v>
                </c:pt>
              </c:strCache>
            </c:strRef>
          </c:cat>
          <c:val>
            <c:numRef>
              <c:f>Sheet1!$E$2:$E$5</c:f>
              <c:numCache>
                <c:formatCode>General</c:formatCode>
                <c:ptCount val="4"/>
              </c:numCache>
            </c:numRef>
          </c:val>
        </c:ser>
        <c:dLbls>
          <c:dLblPos val="inEnd"/>
          <c:showLegendKey val="0"/>
          <c:showVal val="1"/>
          <c:showCatName val="0"/>
          <c:showSerName val="0"/>
          <c:showPercent val="0"/>
          <c:showBubbleSize val="0"/>
        </c:dLbls>
        <c:gapWidth val="150"/>
        <c:axId val="73274368"/>
        <c:axId val="40771584"/>
      </c:barChart>
      <c:catAx>
        <c:axId val="73274368"/>
        <c:scaling>
          <c:orientation val="minMax"/>
        </c:scaling>
        <c:delete val="0"/>
        <c:axPos val="b"/>
        <c:majorTickMark val="out"/>
        <c:minorTickMark val="none"/>
        <c:tickLblPos val="nextTo"/>
        <c:crossAx val="40771584"/>
        <c:crosses val="autoZero"/>
        <c:auto val="1"/>
        <c:lblAlgn val="ctr"/>
        <c:lblOffset val="100"/>
        <c:noMultiLvlLbl val="0"/>
      </c:catAx>
      <c:valAx>
        <c:axId val="40771584"/>
        <c:scaling>
          <c:orientation val="minMax"/>
        </c:scaling>
        <c:delete val="0"/>
        <c:axPos val="l"/>
        <c:majorGridlines/>
        <c:title>
          <c:tx>
            <c:rich>
              <a:bodyPr rot="0" vert="wordArtVert"/>
              <a:lstStyle/>
              <a:p>
                <a:pPr>
                  <a:defRPr/>
                </a:pPr>
                <a:r>
                  <a:rPr lang="en-GB"/>
                  <a:t>4P's</a:t>
                </a:r>
                <a:r>
                  <a:rPr lang="en-GB" baseline="0"/>
                  <a:t> Visible</a:t>
                </a:r>
                <a:endParaRPr lang="en-GB"/>
              </a:p>
            </c:rich>
          </c:tx>
          <c:layout/>
          <c:overlay val="0"/>
        </c:title>
        <c:numFmt formatCode="0%" sourceLinked="1"/>
        <c:majorTickMark val="out"/>
        <c:minorTickMark val="none"/>
        <c:tickLblPos val="nextTo"/>
        <c:crossAx val="73274368"/>
        <c:crosses val="autoZero"/>
        <c:crossBetween val="between"/>
      </c:valAx>
    </c:plotArea>
    <c:legend>
      <c:legendPos val="r"/>
      <c:layout>
        <c:manualLayout>
          <c:xMode val="edge"/>
          <c:yMode val="edge"/>
          <c:x val="0.83144721493146689"/>
          <c:y val="9.0611798525184348E-2"/>
          <c:w val="0.15929352580927383"/>
          <c:h val="0.28703037120359953"/>
        </c:manualLayout>
      </c:layout>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Staff</a:t>
            </a:r>
            <a:r>
              <a:rPr lang="en-GB" baseline="0"/>
              <a:t> Training (Teaching Assistants) Sample  </a:t>
            </a:r>
            <a:endParaRPr lang="en-GB"/>
          </a:p>
        </c:rich>
      </c:tx>
      <c:layout>
        <c:manualLayout>
          <c:xMode val="edge"/>
          <c:yMode val="edge"/>
          <c:x val="0.20980941107851711"/>
          <c:y val="5.6074766355140186E-2"/>
        </c:manualLayout>
      </c:layout>
      <c:overlay val="0"/>
    </c:title>
    <c:autoTitleDeleted val="0"/>
    <c:plotArea>
      <c:layout>
        <c:manualLayout>
          <c:layoutTarget val="inner"/>
          <c:xMode val="edge"/>
          <c:yMode val="edge"/>
          <c:x val="0.18602576638704477"/>
          <c:y val="0.27462653616896021"/>
          <c:w val="0.81397423361295529"/>
          <c:h val="0.43170014963082887"/>
        </c:manualLayout>
      </c:layout>
      <c:barChart>
        <c:barDir val="col"/>
        <c:grouping val="clustered"/>
        <c:varyColors val="0"/>
        <c:ser>
          <c:idx val="0"/>
          <c:order val="0"/>
          <c:tx>
            <c:strRef>
              <c:f>Sheet1!$B$1</c:f>
              <c:strCache>
                <c:ptCount val="1"/>
                <c:pt idx="0">
                  <c:v>Column1</c:v>
                </c:pt>
              </c:strCache>
            </c:strRef>
          </c:tx>
          <c:invertIfNegative val="0"/>
          <c:cat>
            <c:strRef>
              <c:f>Sheet1!$A$2:$A$5</c:f>
              <c:strCache>
                <c:ptCount val="4"/>
                <c:pt idx="0">
                  <c:v>2013/14</c:v>
                </c:pt>
                <c:pt idx="1">
                  <c:v>2014/15</c:v>
                </c:pt>
                <c:pt idx="2">
                  <c:v>2015/16</c:v>
                </c:pt>
                <c:pt idx="3">
                  <c:v>2016/17</c:v>
                </c:pt>
              </c:strCache>
            </c:strRef>
          </c:cat>
          <c:val>
            <c:numRef>
              <c:f>Sheet1!$B$2:$B$5</c:f>
              <c:numCache>
                <c:formatCode>General</c:formatCode>
                <c:ptCount val="4"/>
              </c:numCache>
            </c:numRef>
          </c:val>
        </c:ser>
        <c:ser>
          <c:idx val="1"/>
          <c:order val="1"/>
          <c:tx>
            <c:strRef>
              <c:f>Sheet1!$C$1</c:f>
              <c:strCache>
                <c:ptCount val="1"/>
                <c:pt idx="0">
                  <c:v>Teacher </c:v>
                </c:pt>
              </c:strCache>
            </c:strRef>
          </c:tx>
          <c:invertIfNegative val="0"/>
          <c:cat>
            <c:strRef>
              <c:f>Sheet1!$A$2:$A$5</c:f>
              <c:strCache>
                <c:ptCount val="4"/>
                <c:pt idx="0">
                  <c:v>2013/14</c:v>
                </c:pt>
                <c:pt idx="1">
                  <c:v>2014/15</c:v>
                </c:pt>
                <c:pt idx="2">
                  <c:v>2015/16</c:v>
                </c:pt>
                <c:pt idx="3">
                  <c:v>2016/17</c:v>
                </c:pt>
              </c:strCache>
            </c:strRef>
          </c:cat>
          <c:val>
            <c:numRef>
              <c:f>Sheet1!$C$2:$C$5</c:f>
              <c:numCache>
                <c:formatCode>General</c:formatCode>
                <c:ptCount val="4"/>
                <c:pt idx="0">
                  <c:v>3</c:v>
                </c:pt>
                <c:pt idx="1">
                  <c:v>5</c:v>
                </c:pt>
                <c:pt idx="2">
                  <c:v>12</c:v>
                </c:pt>
                <c:pt idx="3">
                  <c:v>11</c:v>
                </c:pt>
              </c:numCache>
            </c:numRef>
          </c:val>
        </c:ser>
        <c:dLbls>
          <c:showLegendKey val="0"/>
          <c:showVal val="0"/>
          <c:showCatName val="0"/>
          <c:showSerName val="0"/>
          <c:showPercent val="0"/>
          <c:showBubbleSize val="0"/>
        </c:dLbls>
        <c:gapWidth val="75"/>
        <c:overlap val="-25"/>
        <c:axId val="70293504"/>
        <c:axId val="40772736"/>
      </c:barChart>
      <c:catAx>
        <c:axId val="70293504"/>
        <c:scaling>
          <c:orientation val="minMax"/>
        </c:scaling>
        <c:delete val="0"/>
        <c:axPos val="b"/>
        <c:majorTickMark val="none"/>
        <c:minorTickMark val="none"/>
        <c:tickLblPos val="nextTo"/>
        <c:crossAx val="40772736"/>
        <c:crosses val="autoZero"/>
        <c:auto val="1"/>
        <c:lblAlgn val="ctr"/>
        <c:lblOffset val="100"/>
        <c:noMultiLvlLbl val="0"/>
      </c:catAx>
      <c:valAx>
        <c:axId val="40772736"/>
        <c:scaling>
          <c:orientation val="minMax"/>
        </c:scaling>
        <c:delete val="0"/>
        <c:axPos val="l"/>
        <c:majorGridlines/>
        <c:title>
          <c:tx>
            <c:rich>
              <a:bodyPr rot="0" vert="horz"/>
              <a:lstStyle/>
              <a:p>
                <a:pPr>
                  <a:defRPr/>
                </a:pPr>
                <a:r>
                  <a:rPr lang="en-GB"/>
                  <a:t>Training</a:t>
                </a:r>
                <a:endParaRPr lang="en-GB" baseline="0"/>
              </a:p>
              <a:p>
                <a:pPr>
                  <a:defRPr/>
                </a:pPr>
                <a:r>
                  <a:rPr lang="en-GB" baseline="0"/>
                  <a:t>focussed </a:t>
                </a:r>
              </a:p>
              <a:p>
                <a:pPr>
                  <a:defRPr/>
                </a:pPr>
                <a:r>
                  <a:rPr lang="en-GB" baseline="0"/>
                  <a:t>on for</a:t>
                </a:r>
              </a:p>
              <a:p>
                <a:pPr>
                  <a:defRPr/>
                </a:pPr>
                <a:r>
                  <a:rPr lang="en-GB" baseline="0"/>
                  <a:t>support </a:t>
                </a:r>
              </a:p>
              <a:p>
                <a:pPr>
                  <a:defRPr/>
                </a:pPr>
                <a:r>
                  <a:rPr lang="en-GB" baseline="0"/>
                  <a:t>staff</a:t>
                </a:r>
                <a:endParaRPr lang="en-GB"/>
              </a:p>
            </c:rich>
          </c:tx>
          <c:layout>
            <c:manualLayout>
              <c:xMode val="edge"/>
              <c:yMode val="edge"/>
              <c:x val="1.3071895424836602E-2"/>
              <c:y val="0.2474079525106091"/>
            </c:manualLayout>
          </c:layout>
          <c:overlay val="0"/>
        </c:title>
        <c:numFmt formatCode="General" sourceLinked="1"/>
        <c:majorTickMark val="none"/>
        <c:minorTickMark val="none"/>
        <c:tickLblPos val="nextTo"/>
        <c:spPr>
          <a:ln w="9525">
            <a:noFill/>
          </a:ln>
        </c:spPr>
        <c:crossAx val="70293504"/>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0.81789</cdr:x>
      <cdr:y>0.42437</cdr:y>
    </cdr:from>
    <cdr:to>
      <cdr:x>0.9377</cdr:x>
      <cdr:y>0.57143</cdr:y>
    </cdr:to>
    <cdr:sp macro="" textlink="">
      <cdr:nvSpPr>
        <cdr:cNvPr id="2" name="Text Box 1"/>
        <cdr:cNvSpPr txBox="1"/>
      </cdr:nvSpPr>
      <cdr:spPr>
        <a:xfrm xmlns:a="http://schemas.openxmlformats.org/drawingml/2006/main">
          <a:off x="4876800" y="962025"/>
          <a:ext cx="714375"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0.80032</cdr:x>
      <cdr:y>0.7605</cdr:y>
    </cdr:from>
    <cdr:to>
      <cdr:x>0.97284</cdr:x>
      <cdr:y>0.95378</cdr:y>
    </cdr:to>
    <cdr:sp macro="" textlink="">
      <cdr:nvSpPr>
        <cdr:cNvPr id="3" name="Text Box 2"/>
        <cdr:cNvSpPr txBox="1"/>
      </cdr:nvSpPr>
      <cdr:spPr>
        <a:xfrm xmlns:a="http://schemas.openxmlformats.org/drawingml/2006/main">
          <a:off x="4772025" y="1724026"/>
          <a:ext cx="1028700" cy="438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b="1"/>
            <a:t>Total lessons observed</a:t>
          </a:r>
        </a:p>
      </cdr:txBody>
    </cdr:sp>
  </cdr:relSizeAnchor>
  <cdr:relSizeAnchor xmlns:cdr="http://schemas.openxmlformats.org/drawingml/2006/chartDrawing">
    <cdr:from>
      <cdr:x>0.23482</cdr:x>
      <cdr:y>0.2563</cdr:y>
    </cdr:from>
    <cdr:to>
      <cdr:x>0.26677</cdr:x>
      <cdr:y>0.32353</cdr:y>
    </cdr:to>
    <cdr:sp macro="" textlink="">
      <cdr:nvSpPr>
        <cdr:cNvPr id="4" name="Text Box 3"/>
        <cdr:cNvSpPr txBox="1"/>
      </cdr:nvSpPr>
      <cdr:spPr>
        <a:xfrm xmlns:a="http://schemas.openxmlformats.org/drawingml/2006/main">
          <a:off x="1400175" y="581025"/>
          <a:ext cx="190500" cy="152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0.2492</cdr:x>
      <cdr:y>0.32353</cdr:y>
    </cdr:from>
    <cdr:to>
      <cdr:x>0.29233</cdr:x>
      <cdr:y>0.39076</cdr:y>
    </cdr:to>
    <cdr:sp macro="" textlink="">
      <cdr:nvSpPr>
        <cdr:cNvPr id="5" name="Text Box 4"/>
        <cdr:cNvSpPr txBox="1"/>
      </cdr:nvSpPr>
      <cdr:spPr>
        <a:xfrm xmlns:a="http://schemas.openxmlformats.org/drawingml/2006/main">
          <a:off x="1485900" y="733425"/>
          <a:ext cx="257175" cy="152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0.20128</cdr:x>
      <cdr:y>0.29412</cdr:y>
    </cdr:from>
    <cdr:to>
      <cdr:x>0.28275</cdr:x>
      <cdr:y>0.43278</cdr:y>
    </cdr:to>
    <cdr:sp macro="" textlink="">
      <cdr:nvSpPr>
        <cdr:cNvPr id="6" name="Text Box 5"/>
        <cdr:cNvSpPr txBox="1"/>
      </cdr:nvSpPr>
      <cdr:spPr>
        <a:xfrm xmlns:a="http://schemas.openxmlformats.org/drawingml/2006/main">
          <a:off x="1200164" y="666747"/>
          <a:ext cx="485777" cy="3143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55%</a:t>
          </a:r>
        </a:p>
      </cdr:txBody>
    </cdr:sp>
  </cdr:relSizeAnchor>
  <cdr:relSizeAnchor xmlns:cdr="http://schemas.openxmlformats.org/drawingml/2006/chartDrawing">
    <cdr:from>
      <cdr:x>0.40894</cdr:x>
      <cdr:y>0.23109</cdr:y>
    </cdr:from>
    <cdr:to>
      <cdr:x>0.48402</cdr:x>
      <cdr:y>0.33193</cdr:y>
    </cdr:to>
    <cdr:sp macro="" textlink="">
      <cdr:nvSpPr>
        <cdr:cNvPr id="7" name="Text Box 6"/>
        <cdr:cNvSpPr txBox="1"/>
      </cdr:nvSpPr>
      <cdr:spPr>
        <a:xfrm xmlns:a="http://schemas.openxmlformats.org/drawingml/2006/main">
          <a:off x="2438395" y="523869"/>
          <a:ext cx="447676" cy="2285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68%</a:t>
          </a:r>
        </a:p>
      </cdr:txBody>
    </cdr:sp>
  </cdr:relSizeAnchor>
  <cdr:relSizeAnchor xmlns:cdr="http://schemas.openxmlformats.org/drawingml/2006/chartDrawing">
    <cdr:from>
      <cdr:x>0.60064</cdr:x>
      <cdr:y>0.17227</cdr:y>
    </cdr:from>
    <cdr:to>
      <cdr:x>0.6885</cdr:x>
      <cdr:y>0.26051</cdr:y>
    </cdr:to>
    <cdr:sp macro="" textlink="">
      <cdr:nvSpPr>
        <cdr:cNvPr id="8" name="Text Box 7"/>
        <cdr:cNvSpPr txBox="1"/>
      </cdr:nvSpPr>
      <cdr:spPr>
        <a:xfrm xmlns:a="http://schemas.openxmlformats.org/drawingml/2006/main">
          <a:off x="3581423" y="390520"/>
          <a:ext cx="523878" cy="2000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85%</a:t>
          </a:r>
        </a:p>
      </cdr:txBody>
    </cdr:sp>
  </cdr:relSizeAnchor>
  <cdr:relSizeAnchor xmlns:cdr="http://schemas.openxmlformats.org/drawingml/2006/chartDrawing">
    <cdr:from>
      <cdr:x>0.79234</cdr:x>
      <cdr:y>0.14706</cdr:y>
    </cdr:from>
    <cdr:to>
      <cdr:x>0.8802</cdr:x>
      <cdr:y>0.2353</cdr:y>
    </cdr:to>
    <cdr:sp macro="" textlink="">
      <cdr:nvSpPr>
        <cdr:cNvPr id="9" name="Text Box 8"/>
        <cdr:cNvSpPr txBox="1"/>
      </cdr:nvSpPr>
      <cdr:spPr>
        <a:xfrm xmlns:a="http://schemas.openxmlformats.org/drawingml/2006/main">
          <a:off x="4724423" y="333370"/>
          <a:ext cx="523878" cy="2000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90%</a:t>
          </a:r>
        </a:p>
      </cdr:txBody>
    </cdr:sp>
  </cdr:relSizeAnchor>
</c:userShapes>
</file>

<file path=word/drawings/drawing2.xml><?xml version="1.0" encoding="utf-8"?>
<c:userShapes xmlns:c="http://schemas.openxmlformats.org/drawingml/2006/chart">
  <cdr:relSizeAnchor xmlns:cdr="http://schemas.openxmlformats.org/drawingml/2006/chartDrawing">
    <cdr:from>
      <cdr:x>0.81944</cdr:x>
      <cdr:y>0.52381</cdr:y>
    </cdr:from>
    <cdr:to>
      <cdr:x>0.97396</cdr:x>
      <cdr:y>0.72321</cdr:y>
    </cdr:to>
    <cdr:sp macro="" textlink="">
      <cdr:nvSpPr>
        <cdr:cNvPr id="2" name="Text Box 1"/>
        <cdr:cNvSpPr txBox="1"/>
      </cdr:nvSpPr>
      <cdr:spPr>
        <a:xfrm xmlns:a="http://schemas.openxmlformats.org/drawingml/2006/main">
          <a:off x="4495800" y="1676401"/>
          <a:ext cx="847725" cy="638174"/>
        </a:xfrm>
        <a:prstGeom xmlns:a="http://schemas.openxmlformats.org/drawingml/2006/main" prst="rect">
          <a:avLst/>
        </a:prstGeom>
        <a:ln xmlns:a="http://schemas.openxmlformats.org/drawingml/2006/main" w="3175"/>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r>
            <a:rPr lang="en-GB" sz="1000"/>
            <a:t>Lessons Observed for 4 P's </a:t>
          </a:r>
        </a:p>
      </cdr:txBody>
    </cdr:sp>
  </cdr:relSizeAnchor>
</c:userShapes>
</file>

<file path=word/drawings/drawing3.xml><?xml version="1.0" encoding="utf-8"?>
<c:userShapes xmlns:c="http://schemas.openxmlformats.org/drawingml/2006/chart">
  <cdr:relSizeAnchor xmlns:cdr="http://schemas.openxmlformats.org/drawingml/2006/chartDrawing">
    <cdr:from>
      <cdr:x>0.30392</cdr:x>
      <cdr:y>0.51402</cdr:y>
    </cdr:from>
    <cdr:to>
      <cdr:x>0.35457</cdr:x>
      <cdr:y>0.63084</cdr:y>
    </cdr:to>
    <cdr:sp macro="" textlink="">
      <cdr:nvSpPr>
        <cdr:cNvPr id="2" name="Text Box 1"/>
        <cdr:cNvSpPr txBox="1"/>
      </cdr:nvSpPr>
      <cdr:spPr>
        <a:xfrm xmlns:a="http://schemas.openxmlformats.org/drawingml/2006/main">
          <a:off x="1771663" y="1047751"/>
          <a:ext cx="295254" cy="2381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3</a:t>
          </a:r>
        </a:p>
      </cdr:txBody>
    </cdr:sp>
  </cdr:relSizeAnchor>
  <cdr:relSizeAnchor xmlns:cdr="http://schemas.openxmlformats.org/drawingml/2006/chartDrawing">
    <cdr:from>
      <cdr:x>0.50327</cdr:x>
      <cdr:y>0.45794</cdr:y>
    </cdr:from>
    <cdr:to>
      <cdr:x>0.56373</cdr:x>
      <cdr:y>0.57944</cdr:y>
    </cdr:to>
    <cdr:sp macro="" textlink="">
      <cdr:nvSpPr>
        <cdr:cNvPr id="3" name="Text Box 2"/>
        <cdr:cNvSpPr txBox="1"/>
      </cdr:nvSpPr>
      <cdr:spPr>
        <a:xfrm xmlns:a="http://schemas.openxmlformats.org/drawingml/2006/main">
          <a:off x="2933710" y="933448"/>
          <a:ext cx="352440" cy="2476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5</a:t>
          </a:r>
        </a:p>
      </cdr:txBody>
    </cdr:sp>
  </cdr:relSizeAnchor>
  <cdr:relSizeAnchor xmlns:cdr="http://schemas.openxmlformats.org/drawingml/2006/chartDrawing">
    <cdr:from>
      <cdr:x>0.69118</cdr:x>
      <cdr:y>0.49065</cdr:y>
    </cdr:from>
    <cdr:to>
      <cdr:x>0.74346</cdr:x>
      <cdr:y>0.60748</cdr:y>
    </cdr:to>
    <cdr:sp macro="" textlink="">
      <cdr:nvSpPr>
        <cdr:cNvPr id="4" name="Text Box 3"/>
        <cdr:cNvSpPr txBox="1"/>
      </cdr:nvSpPr>
      <cdr:spPr>
        <a:xfrm xmlns:a="http://schemas.openxmlformats.org/drawingml/2006/main">
          <a:off x="4029075" y="1000125"/>
          <a:ext cx="30480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0.69118</cdr:x>
      <cdr:y>0.24299</cdr:y>
    </cdr:from>
    <cdr:to>
      <cdr:x>0.78105</cdr:x>
      <cdr:y>0.39252</cdr:y>
    </cdr:to>
    <cdr:sp macro="" textlink="">
      <cdr:nvSpPr>
        <cdr:cNvPr id="5" name="Text Box 4"/>
        <cdr:cNvSpPr txBox="1"/>
      </cdr:nvSpPr>
      <cdr:spPr>
        <a:xfrm xmlns:a="http://schemas.openxmlformats.org/drawingml/2006/main">
          <a:off x="4029072" y="495304"/>
          <a:ext cx="523879" cy="3047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100"/>
            <a:t>12</a:t>
          </a:r>
        </a:p>
      </cdr:txBody>
    </cdr:sp>
  </cdr:relSizeAnchor>
  <cdr:relSizeAnchor xmlns:cdr="http://schemas.openxmlformats.org/drawingml/2006/chartDrawing">
    <cdr:from>
      <cdr:x>0.88562</cdr:x>
      <cdr:y>0.23364</cdr:y>
    </cdr:from>
    <cdr:to>
      <cdr:x>0.97549</cdr:x>
      <cdr:y>0.38317</cdr:y>
    </cdr:to>
    <cdr:sp macro="" textlink="">
      <cdr:nvSpPr>
        <cdr:cNvPr id="6" name="Text Box 5"/>
        <cdr:cNvSpPr txBox="1"/>
      </cdr:nvSpPr>
      <cdr:spPr>
        <a:xfrm xmlns:a="http://schemas.openxmlformats.org/drawingml/2006/main">
          <a:off x="5162571" y="476249"/>
          <a:ext cx="523879" cy="3047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100"/>
            <a:t>11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4</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Taylor</dc:creator>
  <cp:lastModifiedBy>Paula Taylor</cp:lastModifiedBy>
  <cp:revision>26</cp:revision>
  <cp:lastPrinted>2016-06-15T10:50:00Z</cp:lastPrinted>
  <dcterms:created xsi:type="dcterms:W3CDTF">2016-05-18T08:14:00Z</dcterms:created>
  <dcterms:modified xsi:type="dcterms:W3CDTF">2017-07-13T12:52:00Z</dcterms:modified>
</cp:coreProperties>
</file>